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14" w:rsidRDefault="008F4C14" w:rsidP="008358B7">
      <w:pPr>
        <w:spacing w:line="25" w:lineRule="atLeast"/>
        <w:ind w:right="-6"/>
        <w:jc w:val="both"/>
        <w:rPr>
          <w:sz w:val="28"/>
          <w:szCs w:val="28"/>
        </w:rPr>
      </w:pPr>
    </w:p>
    <w:p w:rsidR="000025D5" w:rsidRPr="000025D5" w:rsidRDefault="000025D5" w:rsidP="000025D5">
      <w:pPr>
        <w:jc w:val="center"/>
        <w:rPr>
          <w:b/>
          <w:spacing w:val="20"/>
          <w:sz w:val="26"/>
          <w:szCs w:val="26"/>
        </w:rPr>
      </w:pPr>
      <w:r w:rsidRPr="000025D5">
        <w:rPr>
          <w:b/>
          <w:spacing w:val="20"/>
          <w:sz w:val="26"/>
          <w:szCs w:val="26"/>
        </w:rPr>
        <w:t>АДМИНИСТРАЦИЯ</w:t>
      </w:r>
    </w:p>
    <w:p w:rsidR="000025D5" w:rsidRPr="000025D5" w:rsidRDefault="000025D5" w:rsidP="000025D5">
      <w:pPr>
        <w:jc w:val="center"/>
        <w:rPr>
          <w:b/>
          <w:spacing w:val="20"/>
          <w:sz w:val="26"/>
          <w:szCs w:val="26"/>
        </w:rPr>
      </w:pPr>
      <w:r w:rsidRPr="000025D5">
        <w:rPr>
          <w:b/>
          <w:spacing w:val="20"/>
          <w:sz w:val="26"/>
          <w:szCs w:val="26"/>
        </w:rPr>
        <w:t>ТРОИЦКОГО  РАЙОНА</w:t>
      </w:r>
    </w:p>
    <w:p w:rsidR="000025D5" w:rsidRPr="000025D5" w:rsidRDefault="000025D5" w:rsidP="000025D5">
      <w:pPr>
        <w:jc w:val="center"/>
        <w:rPr>
          <w:b/>
          <w:spacing w:val="20"/>
          <w:sz w:val="26"/>
          <w:szCs w:val="26"/>
        </w:rPr>
      </w:pPr>
      <w:r w:rsidRPr="000025D5">
        <w:rPr>
          <w:b/>
          <w:spacing w:val="20"/>
          <w:sz w:val="26"/>
          <w:szCs w:val="26"/>
        </w:rPr>
        <w:t>АЛТАЙСКОГО КРАЯ</w:t>
      </w:r>
    </w:p>
    <w:p w:rsidR="000025D5" w:rsidRPr="000025D5" w:rsidRDefault="000025D5" w:rsidP="000025D5">
      <w:pPr>
        <w:rPr>
          <w:b/>
          <w:sz w:val="26"/>
          <w:szCs w:val="26"/>
        </w:rPr>
      </w:pPr>
    </w:p>
    <w:p w:rsidR="000025D5" w:rsidRPr="000025D5" w:rsidRDefault="000025D5" w:rsidP="000025D5">
      <w:pPr>
        <w:rPr>
          <w:b/>
          <w:spacing w:val="84"/>
        </w:rPr>
      </w:pPr>
      <w:r w:rsidRPr="000025D5">
        <w:rPr>
          <w:b/>
          <w:spacing w:val="84"/>
          <w:sz w:val="28"/>
          <w:szCs w:val="20"/>
        </w:rPr>
        <w:t xml:space="preserve">                </w:t>
      </w:r>
      <w:r w:rsidRPr="000025D5">
        <w:rPr>
          <w:rFonts w:ascii="Arial" w:hAnsi="Arial" w:cs="Arial"/>
          <w:b/>
          <w:spacing w:val="84"/>
          <w:sz w:val="36"/>
          <w:szCs w:val="36"/>
        </w:rPr>
        <w:t>ПОСТАНОВЛЕНИЕ</w:t>
      </w:r>
      <w:r w:rsidRPr="000025D5">
        <w:rPr>
          <w:b/>
          <w:spacing w:val="84"/>
          <w:sz w:val="28"/>
          <w:szCs w:val="20"/>
        </w:rPr>
        <w:t xml:space="preserve"> </w:t>
      </w:r>
    </w:p>
    <w:p w:rsidR="000025D5" w:rsidRPr="000025D5" w:rsidRDefault="000025D5" w:rsidP="000025D5">
      <w:pPr>
        <w:rPr>
          <w:b/>
          <w:sz w:val="28"/>
          <w:szCs w:val="20"/>
        </w:rPr>
      </w:pPr>
    </w:p>
    <w:p w:rsidR="000025D5" w:rsidRDefault="00FE7EE7" w:rsidP="000025D5">
      <w:pPr>
        <w:rPr>
          <w:sz w:val="28"/>
          <w:szCs w:val="28"/>
        </w:rPr>
      </w:pPr>
      <w:r>
        <w:rPr>
          <w:sz w:val="28"/>
          <w:szCs w:val="28"/>
        </w:rPr>
        <w:t>04.04.2023</w:t>
      </w:r>
      <w:r w:rsidR="000025D5" w:rsidRPr="000025D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0025D5" w:rsidRPr="000025D5">
        <w:rPr>
          <w:sz w:val="28"/>
          <w:szCs w:val="28"/>
        </w:rPr>
        <w:t xml:space="preserve">   № </w:t>
      </w:r>
      <w:r>
        <w:rPr>
          <w:sz w:val="28"/>
          <w:szCs w:val="28"/>
        </w:rPr>
        <w:t>327</w:t>
      </w:r>
    </w:p>
    <w:p w:rsidR="000025D5" w:rsidRPr="000025D5" w:rsidRDefault="000025D5" w:rsidP="000025D5">
      <w:pPr>
        <w:rPr>
          <w:sz w:val="28"/>
          <w:szCs w:val="28"/>
        </w:rPr>
      </w:pPr>
    </w:p>
    <w:p w:rsidR="000025D5" w:rsidRPr="000025D5" w:rsidRDefault="000025D5" w:rsidP="000025D5">
      <w:pPr>
        <w:rPr>
          <w:rFonts w:ascii="Arial" w:hAnsi="Arial" w:cs="Arial"/>
          <w:b/>
          <w:sz w:val="18"/>
          <w:szCs w:val="18"/>
        </w:rPr>
      </w:pPr>
      <w:r w:rsidRPr="000025D5">
        <w:rPr>
          <w:sz w:val="28"/>
          <w:szCs w:val="28"/>
        </w:rPr>
        <w:t xml:space="preserve">                                                        </w:t>
      </w:r>
      <w:r w:rsidRPr="000025D5">
        <w:rPr>
          <w:rFonts w:ascii="Arial" w:hAnsi="Arial" w:cs="Arial"/>
          <w:b/>
          <w:sz w:val="18"/>
          <w:szCs w:val="18"/>
        </w:rPr>
        <w:t>с. Троицкое</w:t>
      </w:r>
    </w:p>
    <w:p w:rsidR="000025D5" w:rsidRPr="000025D5" w:rsidRDefault="000025D5" w:rsidP="000025D5">
      <w:pPr>
        <w:rPr>
          <w:sz w:val="28"/>
          <w:szCs w:val="28"/>
        </w:rPr>
      </w:pPr>
    </w:p>
    <w:p w:rsidR="000025D5" w:rsidRPr="000025D5" w:rsidRDefault="000025D5" w:rsidP="000025D5">
      <w:pPr>
        <w:ind w:right="4855"/>
        <w:jc w:val="both"/>
        <w:rPr>
          <w:sz w:val="28"/>
          <w:szCs w:val="28"/>
        </w:rPr>
      </w:pPr>
      <w:r w:rsidRPr="000025D5">
        <w:rPr>
          <w:sz w:val="28"/>
          <w:szCs w:val="28"/>
        </w:rPr>
        <w:t>Об утверждении Плана мероприятий по улучшению инвестиционного климата в муниципальном образовании Троицкий  район</w:t>
      </w:r>
      <w:r w:rsidR="001D74BD">
        <w:rPr>
          <w:sz w:val="28"/>
          <w:szCs w:val="28"/>
        </w:rPr>
        <w:t xml:space="preserve"> Алтайского края</w:t>
      </w:r>
      <w:r w:rsidRPr="000025D5">
        <w:rPr>
          <w:sz w:val="28"/>
          <w:szCs w:val="28"/>
        </w:rPr>
        <w:t xml:space="preserve"> на 2023 год</w:t>
      </w:r>
    </w:p>
    <w:p w:rsidR="000025D5" w:rsidRPr="000025D5" w:rsidRDefault="000025D5" w:rsidP="000025D5">
      <w:pPr>
        <w:ind w:right="4855"/>
        <w:jc w:val="both"/>
        <w:rPr>
          <w:sz w:val="28"/>
          <w:szCs w:val="28"/>
        </w:rPr>
      </w:pPr>
    </w:p>
    <w:p w:rsidR="000025D5" w:rsidRPr="000025D5" w:rsidRDefault="000025D5" w:rsidP="000025D5">
      <w:pPr>
        <w:ind w:right="4855"/>
        <w:jc w:val="both"/>
        <w:rPr>
          <w:sz w:val="28"/>
          <w:szCs w:val="28"/>
        </w:rPr>
      </w:pPr>
    </w:p>
    <w:p w:rsidR="000025D5" w:rsidRPr="000025D5" w:rsidRDefault="000025D5" w:rsidP="000025D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0025D5">
        <w:rPr>
          <w:sz w:val="28"/>
          <w:szCs w:val="28"/>
        </w:rPr>
        <w:t>Во исполнение мероприятий  по реализации Стандарта деятельности органов местного самоуправления по обеспечению благоприятного инвестиционного климата в муниципальном образовании Троицкий район</w:t>
      </w:r>
      <w:r w:rsidR="001D74BD" w:rsidRPr="001D74BD">
        <w:t xml:space="preserve"> </w:t>
      </w:r>
      <w:r w:rsidR="001D74BD" w:rsidRPr="001D74BD">
        <w:rPr>
          <w:sz w:val="28"/>
          <w:szCs w:val="28"/>
        </w:rPr>
        <w:t>Алтайского края</w:t>
      </w:r>
      <w:r w:rsidRPr="000025D5">
        <w:rPr>
          <w:sz w:val="28"/>
          <w:szCs w:val="28"/>
        </w:rPr>
        <w:t>,</w:t>
      </w:r>
    </w:p>
    <w:p w:rsidR="000025D5" w:rsidRPr="000025D5" w:rsidRDefault="000025D5" w:rsidP="000025D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0025D5" w:rsidRPr="000025D5" w:rsidRDefault="000025D5" w:rsidP="000025D5">
      <w:pPr>
        <w:tabs>
          <w:tab w:val="left" w:pos="4678"/>
        </w:tabs>
        <w:autoSpaceDN w:val="0"/>
        <w:adjustRightInd w:val="0"/>
        <w:ind w:firstLine="3600"/>
        <w:jc w:val="both"/>
        <w:rPr>
          <w:spacing w:val="40"/>
          <w:sz w:val="28"/>
          <w:szCs w:val="28"/>
        </w:rPr>
      </w:pPr>
      <w:r w:rsidRPr="000025D5">
        <w:rPr>
          <w:spacing w:val="40"/>
          <w:sz w:val="28"/>
          <w:szCs w:val="28"/>
        </w:rPr>
        <w:t>постановляю:</w:t>
      </w:r>
    </w:p>
    <w:p w:rsidR="000025D5" w:rsidRPr="000025D5" w:rsidRDefault="000025D5" w:rsidP="000025D5">
      <w:pPr>
        <w:ind w:left="720"/>
        <w:jc w:val="both"/>
        <w:rPr>
          <w:sz w:val="28"/>
          <w:szCs w:val="28"/>
        </w:rPr>
      </w:pPr>
    </w:p>
    <w:p w:rsidR="000025D5" w:rsidRPr="000025D5" w:rsidRDefault="000025D5" w:rsidP="000025D5">
      <w:pPr>
        <w:ind w:firstLine="540"/>
        <w:jc w:val="both"/>
        <w:rPr>
          <w:sz w:val="28"/>
          <w:szCs w:val="28"/>
        </w:rPr>
      </w:pPr>
      <w:r w:rsidRPr="000025D5">
        <w:rPr>
          <w:sz w:val="28"/>
          <w:szCs w:val="28"/>
        </w:rPr>
        <w:t xml:space="preserve">1.  Утвердить  План мероприятий по улучшению инвестиционного климата в муниципальном образовании Троицкий район </w:t>
      </w:r>
      <w:r w:rsidR="00E80E74" w:rsidRPr="00E80E74">
        <w:rPr>
          <w:sz w:val="28"/>
          <w:szCs w:val="28"/>
        </w:rPr>
        <w:t xml:space="preserve">Алтайского края </w:t>
      </w:r>
      <w:r w:rsidRPr="000025D5">
        <w:rPr>
          <w:sz w:val="28"/>
          <w:szCs w:val="28"/>
        </w:rPr>
        <w:t>на 2023 год (прилагается).</w:t>
      </w:r>
    </w:p>
    <w:p w:rsidR="000025D5" w:rsidRPr="000025D5" w:rsidRDefault="000025D5" w:rsidP="000025D5">
      <w:pPr>
        <w:ind w:firstLine="540"/>
        <w:jc w:val="both"/>
        <w:rPr>
          <w:sz w:val="28"/>
          <w:szCs w:val="28"/>
        </w:rPr>
      </w:pPr>
      <w:r w:rsidRPr="000025D5">
        <w:rPr>
          <w:sz w:val="28"/>
          <w:szCs w:val="28"/>
        </w:rPr>
        <w:t xml:space="preserve">2. Обнародовать настоящее постановление на официальном сайте Администрации Троицкого района.    </w:t>
      </w:r>
    </w:p>
    <w:p w:rsidR="000025D5" w:rsidRPr="000025D5" w:rsidRDefault="000025D5" w:rsidP="000025D5">
      <w:pPr>
        <w:ind w:firstLine="540"/>
        <w:jc w:val="both"/>
        <w:rPr>
          <w:sz w:val="28"/>
          <w:szCs w:val="28"/>
        </w:rPr>
      </w:pPr>
      <w:r w:rsidRPr="000025D5">
        <w:rPr>
          <w:sz w:val="28"/>
          <w:szCs w:val="28"/>
        </w:rPr>
        <w:t xml:space="preserve">3.  </w:t>
      </w:r>
      <w:proofErr w:type="gramStart"/>
      <w:r w:rsidRPr="000025D5">
        <w:rPr>
          <w:sz w:val="28"/>
          <w:szCs w:val="28"/>
        </w:rPr>
        <w:t>Контроль за</w:t>
      </w:r>
      <w:proofErr w:type="gramEnd"/>
      <w:r w:rsidRPr="000025D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экономике, председателя комитета Троицкого района Алтайского края по финансам, налоговой и кредитной политике Е.А. Вишнякову.</w:t>
      </w:r>
    </w:p>
    <w:p w:rsidR="000025D5" w:rsidRPr="000025D5" w:rsidRDefault="000025D5" w:rsidP="000025D5">
      <w:pPr>
        <w:ind w:firstLine="180"/>
        <w:jc w:val="both"/>
        <w:rPr>
          <w:sz w:val="28"/>
          <w:szCs w:val="28"/>
        </w:rPr>
      </w:pPr>
      <w:r w:rsidRPr="000025D5">
        <w:rPr>
          <w:sz w:val="28"/>
          <w:szCs w:val="28"/>
        </w:rPr>
        <w:t xml:space="preserve">     </w:t>
      </w:r>
    </w:p>
    <w:p w:rsidR="000025D5" w:rsidRPr="000025D5" w:rsidRDefault="000025D5" w:rsidP="000025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4C14" w:rsidRDefault="000025D5" w:rsidP="000025D5">
      <w:pPr>
        <w:widowControl w:val="0"/>
        <w:autoSpaceDE w:val="0"/>
        <w:autoSpaceDN w:val="0"/>
        <w:adjustRightInd w:val="0"/>
        <w:jc w:val="both"/>
        <w:outlineLvl w:val="0"/>
        <w:sectPr w:rsidR="008F4C14" w:rsidSect="008F4C1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0025D5">
        <w:rPr>
          <w:bCs/>
          <w:sz w:val="28"/>
          <w:szCs w:val="28"/>
        </w:rPr>
        <w:t>Глава района                                                                             В.В. Журавлёв</w:t>
      </w:r>
    </w:p>
    <w:p w:rsidR="008F4C14" w:rsidRPr="00871515" w:rsidRDefault="006C0E07" w:rsidP="006C0E07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8F4C14" w:rsidRPr="00871515">
        <w:rPr>
          <w:rFonts w:ascii="Times New Roman" w:hAnsi="Times New Roman" w:cs="Times New Roman"/>
          <w:sz w:val="24"/>
          <w:szCs w:val="24"/>
        </w:rPr>
        <w:t>Приложение</w:t>
      </w:r>
    </w:p>
    <w:p w:rsidR="008F4C14" w:rsidRPr="00871515" w:rsidRDefault="008F4C14" w:rsidP="008F4C14">
      <w:pPr>
        <w:pStyle w:val="ConsPlusNormal"/>
        <w:widowControl/>
        <w:ind w:left="-18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1515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8F4C14" w:rsidRPr="00871515" w:rsidRDefault="008F4C14" w:rsidP="008F4C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71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C0E0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0025D5">
        <w:rPr>
          <w:rFonts w:ascii="Times New Roman" w:hAnsi="Times New Roman" w:cs="Times New Roman"/>
          <w:sz w:val="24"/>
          <w:szCs w:val="24"/>
        </w:rPr>
        <w:t xml:space="preserve">  </w:t>
      </w:r>
      <w:r w:rsidR="00FE7EE7">
        <w:rPr>
          <w:rFonts w:ascii="Times New Roman" w:hAnsi="Times New Roman" w:cs="Times New Roman"/>
          <w:sz w:val="24"/>
          <w:szCs w:val="24"/>
        </w:rPr>
        <w:t xml:space="preserve">04.04.2023 </w:t>
      </w:r>
      <w:bookmarkStart w:id="0" w:name="_GoBack"/>
      <w:bookmarkEnd w:id="0"/>
      <w:r w:rsidRPr="0087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E7EE7">
        <w:rPr>
          <w:rFonts w:ascii="Times New Roman" w:hAnsi="Times New Roman" w:cs="Times New Roman"/>
          <w:sz w:val="24"/>
          <w:szCs w:val="24"/>
        </w:rPr>
        <w:t>327</w:t>
      </w:r>
    </w:p>
    <w:p w:rsidR="008F4C14" w:rsidRPr="00374CBC" w:rsidRDefault="008F4C14" w:rsidP="008F4C14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4C14" w:rsidRDefault="008F4C14" w:rsidP="008F4C14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F4C14" w:rsidRPr="00834770" w:rsidRDefault="008F4C14" w:rsidP="008F4C14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</w:t>
      </w:r>
      <w:r w:rsidRPr="00834770">
        <w:rPr>
          <w:rFonts w:ascii="Times New Roman" w:hAnsi="Times New Roman" w:cs="Times New Roman"/>
          <w:b/>
          <w:sz w:val="28"/>
          <w:szCs w:val="28"/>
        </w:rPr>
        <w:t>лучшени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34770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в </w:t>
      </w:r>
      <w:r w:rsidR="006C0E0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0025D5">
        <w:rPr>
          <w:rFonts w:ascii="Times New Roman" w:hAnsi="Times New Roman" w:cs="Times New Roman"/>
          <w:b/>
          <w:sz w:val="28"/>
          <w:szCs w:val="28"/>
        </w:rPr>
        <w:t>Троицк</w:t>
      </w:r>
      <w:r w:rsidR="006C0E07">
        <w:rPr>
          <w:rFonts w:ascii="Times New Roman" w:hAnsi="Times New Roman" w:cs="Times New Roman"/>
          <w:b/>
          <w:sz w:val="28"/>
          <w:szCs w:val="28"/>
        </w:rPr>
        <w:t>ий</w:t>
      </w:r>
      <w:r w:rsidRPr="00834770">
        <w:rPr>
          <w:rFonts w:ascii="Times New Roman" w:hAnsi="Times New Roman" w:cs="Times New Roman"/>
          <w:b/>
          <w:sz w:val="28"/>
          <w:szCs w:val="28"/>
        </w:rPr>
        <w:t xml:space="preserve">  район </w:t>
      </w:r>
    </w:p>
    <w:p w:rsidR="008F4C14" w:rsidRPr="00834770" w:rsidRDefault="008F4C14" w:rsidP="008F4C14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470F7">
        <w:rPr>
          <w:rFonts w:ascii="Times New Roman" w:hAnsi="Times New Roman" w:cs="Times New Roman"/>
          <w:b/>
          <w:sz w:val="28"/>
          <w:szCs w:val="28"/>
        </w:rPr>
        <w:t>3</w:t>
      </w:r>
      <w:r w:rsidRPr="008347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C14" w:rsidRPr="00834770" w:rsidRDefault="008F4C14" w:rsidP="008F4C14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"/>
        <w:gridCol w:w="6637"/>
        <w:gridCol w:w="1958"/>
        <w:gridCol w:w="2990"/>
        <w:gridCol w:w="3299"/>
        <w:gridCol w:w="2059"/>
        <w:gridCol w:w="1447"/>
        <w:gridCol w:w="3138"/>
        <w:gridCol w:w="91"/>
        <w:gridCol w:w="3048"/>
        <w:gridCol w:w="1628"/>
        <w:gridCol w:w="4676"/>
      </w:tblGrid>
      <w:tr w:rsidR="008F4C14" w:rsidRPr="004E7533" w:rsidTr="008F4C14">
        <w:trPr>
          <w:gridAfter w:val="7"/>
          <w:wAfter w:w="16087" w:type="dxa"/>
          <w:trHeight w:val="562"/>
        </w:trPr>
        <w:tc>
          <w:tcPr>
            <w:tcW w:w="701" w:type="dxa"/>
          </w:tcPr>
          <w:p w:rsidR="008F4C14" w:rsidRPr="004E7533" w:rsidRDefault="008F4C14" w:rsidP="008E6724">
            <w:pPr>
              <w:jc w:val="center"/>
              <w:rPr>
                <w:rStyle w:val="FontStyle29"/>
              </w:rPr>
            </w:pPr>
            <w:r w:rsidRPr="004E7533">
              <w:rPr>
                <w:rStyle w:val="FontStyle29"/>
              </w:rPr>
              <w:t>№</w:t>
            </w:r>
            <w:proofErr w:type="gramStart"/>
            <w:r w:rsidRPr="004E7533">
              <w:rPr>
                <w:rStyle w:val="FontStyle29"/>
              </w:rPr>
              <w:t>п</w:t>
            </w:r>
            <w:proofErr w:type="gramEnd"/>
            <w:r w:rsidRPr="004E7533">
              <w:rPr>
                <w:rStyle w:val="FontStyle29"/>
              </w:rPr>
              <w:t>/п</w:t>
            </w:r>
          </w:p>
        </w:tc>
        <w:tc>
          <w:tcPr>
            <w:tcW w:w="6645" w:type="dxa"/>
            <w:gridSpan w:val="2"/>
          </w:tcPr>
          <w:p w:rsidR="008F4C14" w:rsidRPr="000025D5" w:rsidRDefault="008F4C14" w:rsidP="008E6724">
            <w:pPr>
              <w:jc w:val="center"/>
              <w:rPr>
                <w:rStyle w:val="FontStyle29"/>
                <w:sz w:val="24"/>
              </w:rPr>
            </w:pPr>
            <w:r w:rsidRPr="000025D5">
              <w:rPr>
                <w:rStyle w:val="FontStyle29"/>
                <w:sz w:val="24"/>
              </w:rPr>
              <w:t>Наименование мероприятия</w:t>
            </w:r>
          </w:p>
        </w:tc>
        <w:tc>
          <w:tcPr>
            <w:tcW w:w="1958" w:type="dxa"/>
          </w:tcPr>
          <w:p w:rsidR="008F4C14" w:rsidRPr="000025D5" w:rsidRDefault="008F4C14" w:rsidP="008E6724">
            <w:pPr>
              <w:jc w:val="center"/>
              <w:rPr>
                <w:rStyle w:val="FontStyle29"/>
                <w:sz w:val="24"/>
              </w:rPr>
            </w:pPr>
            <w:r w:rsidRPr="000025D5">
              <w:rPr>
                <w:rStyle w:val="FontStyle29"/>
                <w:sz w:val="24"/>
              </w:rPr>
              <w:t>Сроки выполнения</w:t>
            </w:r>
          </w:p>
        </w:tc>
        <w:tc>
          <w:tcPr>
            <w:tcW w:w="2990" w:type="dxa"/>
          </w:tcPr>
          <w:p w:rsidR="008F4C14" w:rsidRPr="000025D5" w:rsidRDefault="008F4C14" w:rsidP="008E6724">
            <w:pPr>
              <w:jc w:val="center"/>
              <w:rPr>
                <w:rStyle w:val="FontStyle29"/>
                <w:sz w:val="24"/>
              </w:rPr>
            </w:pPr>
            <w:r w:rsidRPr="000025D5">
              <w:rPr>
                <w:rStyle w:val="FontStyle29"/>
                <w:sz w:val="24"/>
              </w:rPr>
              <w:t xml:space="preserve">Исполнители </w:t>
            </w:r>
          </w:p>
        </w:tc>
        <w:tc>
          <w:tcPr>
            <w:tcW w:w="3299" w:type="dxa"/>
          </w:tcPr>
          <w:p w:rsidR="008F4C14" w:rsidRPr="000025D5" w:rsidRDefault="008F4C14" w:rsidP="008E6724">
            <w:pPr>
              <w:jc w:val="center"/>
              <w:rPr>
                <w:rStyle w:val="FontStyle29"/>
                <w:sz w:val="24"/>
              </w:rPr>
            </w:pPr>
            <w:r w:rsidRPr="000025D5">
              <w:rPr>
                <w:rStyle w:val="FontStyle29"/>
                <w:sz w:val="24"/>
              </w:rPr>
              <w:t>Ожидаемый результат реализации мероприятия</w:t>
            </w:r>
          </w:p>
        </w:tc>
      </w:tr>
      <w:tr w:rsidR="008F4C14" w:rsidRPr="004E7533" w:rsidTr="008F4C14">
        <w:trPr>
          <w:trHeight w:val="355"/>
        </w:trPr>
        <w:tc>
          <w:tcPr>
            <w:tcW w:w="15593" w:type="dxa"/>
            <w:gridSpan w:val="6"/>
          </w:tcPr>
          <w:p w:rsidR="008F4C14" w:rsidRPr="006C0E07" w:rsidRDefault="008F4C14" w:rsidP="008E6724">
            <w:pPr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b/>
              </w:rPr>
              <w:t xml:space="preserve">                  </w:t>
            </w:r>
            <w:r w:rsidRPr="006C0E07">
              <w:rPr>
                <w:rStyle w:val="FontStyle29"/>
                <w:b/>
                <w:sz w:val="24"/>
              </w:rPr>
              <w:t xml:space="preserve">1.Совершенствование нормативно-правовой базы 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8F4C14" w:rsidRPr="004E7533" w:rsidRDefault="008F4C14" w:rsidP="008E6724">
            <w:pPr>
              <w:jc w:val="center"/>
              <w:rPr>
                <w:rStyle w:val="FontStyle29"/>
              </w:rPr>
            </w:pPr>
          </w:p>
        </w:tc>
        <w:tc>
          <w:tcPr>
            <w:tcW w:w="4676" w:type="dxa"/>
            <w:gridSpan w:val="3"/>
          </w:tcPr>
          <w:p w:rsidR="008F4C14" w:rsidRPr="004E7533" w:rsidRDefault="008F4C14" w:rsidP="008E6724">
            <w:pPr>
              <w:jc w:val="center"/>
              <w:rPr>
                <w:rStyle w:val="FontStyle29"/>
              </w:rPr>
            </w:pPr>
          </w:p>
        </w:tc>
        <w:tc>
          <w:tcPr>
            <w:tcW w:w="4676" w:type="dxa"/>
            <w:gridSpan w:val="2"/>
          </w:tcPr>
          <w:p w:rsidR="008F4C14" w:rsidRPr="004E7533" w:rsidRDefault="008F4C14" w:rsidP="008E6724">
            <w:pPr>
              <w:jc w:val="center"/>
              <w:rPr>
                <w:rStyle w:val="FontStyle29"/>
              </w:rPr>
            </w:pPr>
          </w:p>
        </w:tc>
        <w:tc>
          <w:tcPr>
            <w:tcW w:w="4676" w:type="dxa"/>
          </w:tcPr>
          <w:p w:rsidR="008F4C14" w:rsidRPr="004E7533" w:rsidRDefault="008F4C14" w:rsidP="008E6724">
            <w:pPr>
              <w:jc w:val="center"/>
              <w:rPr>
                <w:rStyle w:val="FontStyle29"/>
              </w:rPr>
            </w:pPr>
          </w:p>
        </w:tc>
      </w:tr>
      <w:tr w:rsidR="008F4C14" w:rsidRPr="004E7533" w:rsidTr="008F4C14">
        <w:trPr>
          <w:gridAfter w:val="7"/>
          <w:wAfter w:w="16087" w:type="dxa"/>
          <w:trHeight w:val="562"/>
        </w:trPr>
        <w:tc>
          <w:tcPr>
            <w:tcW w:w="701" w:type="dxa"/>
          </w:tcPr>
          <w:p w:rsidR="008F4C14" w:rsidRPr="001C0800" w:rsidRDefault="008F4C14" w:rsidP="008E6724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</w:rPr>
            </w:pPr>
            <w:r w:rsidRPr="001C08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45" w:type="dxa"/>
            <w:gridSpan w:val="2"/>
          </w:tcPr>
          <w:p w:rsidR="008F4C14" w:rsidRPr="001E4921" w:rsidRDefault="008F4C14" w:rsidP="008E6724">
            <w:pPr>
              <w:pStyle w:val="ab"/>
              <w:jc w:val="both"/>
              <w:rPr>
                <w:rStyle w:val="FontStyle29"/>
                <w:sz w:val="24"/>
                <w:szCs w:val="24"/>
              </w:rPr>
            </w:pPr>
            <w:r w:rsidRPr="001E4921">
              <w:rPr>
                <w:rStyle w:val="FontStyle29"/>
                <w:sz w:val="24"/>
                <w:szCs w:val="24"/>
              </w:rPr>
              <w:t>Реализация и дальнейшая доработка утвержденных административных регламентов по предоставлению муниципальных услуг:</w:t>
            </w:r>
          </w:p>
          <w:p w:rsidR="008F4C14" w:rsidRPr="001E4921" w:rsidRDefault="008F4C14" w:rsidP="008E6724">
            <w:pPr>
              <w:pStyle w:val="ab"/>
              <w:jc w:val="both"/>
              <w:rPr>
                <w:rStyle w:val="FontStyle29"/>
                <w:sz w:val="24"/>
                <w:szCs w:val="24"/>
              </w:rPr>
            </w:pPr>
            <w:r w:rsidRPr="001E4921">
              <w:rPr>
                <w:rStyle w:val="FontStyle29"/>
                <w:sz w:val="24"/>
                <w:szCs w:val="24"/>
              </w:rPr>
              <w:t xml:space="preserve">- </w:t>
            </w:r>
            <w:r w:rsidRPr="001E49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      </w:r>
            <w:r w:rsidRPr="001E4921">
              <w:rPr>
                <w:rStyle w:val="FontStyle29"/>
                <w:sz w:val="24"/>
                <w:szCs w:val="24"/>
              </w:rPr>
              <w:t>;</w:t>
            </w:r>
          </w:p>
          <w:p w:rsidR="008F4C14" w:rsidRPr="001E4921" w:rsidRDefault="008F4C14" w:rsidP="008E67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921">
              <w:rPr>
                <w:rStyle w:val="FontStyle29"/>
                <w:sz w:val="24"/>
                <w:szCs w:val="24"/>
              </w:rPr>
              <w:t>-</w:t>
            </w:r>
            <w:r w:rsidRPr="001E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ooltip="Выдача разрешения  на ввод объекта в эксплуатацию на территории муниципального образования Благовещенский район Алтайского края" w:history="1">
              <w:r w:rsidRPr="001E4921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Выдача разрешения на ввод объекта в эксплуатацию на территории муниципального образования </w:t>
              </w:r>
              <w:r w:rsidR="001E4921" w:rsidRPr="001E4921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Троицкий</w:t>
              </w:r>
              <w:r w:rsidRPr="001E4921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район Алтайского края</w:t>
              </w:r>
            </w:hyperlink>
            <w:r w:rsidRPr="001E49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4C14" w:rsidRPr="001E4921" w:rsidRDefault="008F4C14" w:rsidP="008E6724">
            <w:pPr>
              <w:pStyle w:val="ab"/>
              <w:jc w:val="both"/>
              <w:rPr>
                <w:rStyle w:val="FontStyle29"/>
                <w:sz w:val="24"/>
                <w:szCs w:val="24"/>
              </w:rPr>
            </w:pPr>
            <w:r w:rsidRPr="001E4921">
              <w:rPr>
                <w:rStyle w:val="FontStyle29"/>
                <w:sz w:val="24"/>
                <w:szCs w:val="24"/>
              </w:rPr>
              <w:t>- Предоставление  информации об объектах  недвижимого имущества, находящихся в муниципальной собственности  и предназначенных для сдачи в аренду;</w:t>
            </w:r>
          </w:p>
          <w:p w:rsidR="008F4C14" w:rsidRPr="001E4921" w:rsidRDefault="008F4C14" w:rsidP="001E4921">
            <w:pPr>
              <w:pStyle w:val="1"/>
              <w:shd w:val="clear" w:color="auto" w:fill="FFFFFF"/>
              <w:spacing w:after="240" w:line="336" w:lineRule="atLeast"/>
              <w:ind w:firstLine="0"/>
              <w:rPr>
                <w:b/>
                <w:bCs/>
                <w:spacing w:val="-12"/>
              </w:rPr>
            </w:pPr>
            <w:r w:rsidRPr="001E4921">
              <w:rPr>
                <w:rStyle w:val="FontStyle29"/>
                <w:sz w:val="24"/>
              </w:rPr>
              <w:t xml:space="preserve">- </w:t>
            </w:r>
            <w:r w:rsidRPr="001E4921">
              <w:rPr>
                <w:spacing w:val="-12"/>
              </w:rPr>
              <w:t>Предоставление земельных участков</w:t>
            </w:r>
            <w:r w:rsidR="001E4921">
              <w:rPr>
                <w:spacing w:val="-12"/>
              </w:rPr>
              <w:t xml:space="preserve"> под строительство.</w:t>
            </w:r>
          </w:p>
          <w:p w:rsidR="008F4C14" w:rsidRPr="004E7533" w:rsidRDefault="008F4C14" w:rsidP="008E6724">
            <w:pPr>
              <w:pStyle w:val="ab"/>
              <w:jc w:val="both"/>
              <w:rPr>
                <w:rStyle w:val="FontStyle29"/>
                <w:sz w:val="24"/>
                <w:szCs w:val="24"/>
              </w:rPr>
            </w:pPr>
            <w:r w:rsidRPr="00C80233">
              <w:rPr>
                <w:rStyle w:val="FontStyle29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8F4C14" w:rsidRPr="004E7533" w:rsidRDefault="008F4C14" w:rsidP="008E6724">
            <w:pPr>
              <w:spacing w:before="60"/>
              <w:jc w:val="both"/>
            </w:pPr>
            <w:r w:rsidRPr="004E7533">
              <w:t>постоянно</w:t>
            </w:r>
          </w:p>
        </w:tc>
        <w:tc>
          <w:tcPr>
            <w:tcW w:w="2990" w:type="dxa"/>
          </w:tcPr>
          <w:p w:rsidR="008F4C14" w:rsidRPr="004E7533" w:rsidRDefault="000025D5" w:rsidP="008E6724">
            <w:pPr>
              <w:spacing w:before="60"/>
              <w:jc w:val="both"/>
            </w:pPr>
            <w:r w:rsidRPr="000025D5">
              <w:t>Управление по экономическому развитию и имущественным отношениям; Управление по архитектуре, строительству, жилищно-коммунальному хозяйству и транспорту Администрации района</w:t>
            </w:r>
          </w:p>
        </w:tc>
        <w:tc>
          <w:tcPr>
            <w:tcW w:w="3299" w:type="dxa"/>
          </w:tcPr>
          <w:p w:rsidR="008F4C14" w:rsidRPr="004E7533" w:rsidRDefault="008F4C14" w:rsidP="008E6724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3">
              <w:rPr>
                <w:rFonts w:ascii="Times New Roman" w:hAnsi="Times New Roman" w:cs="Times New Roman"/>
                <w:sz w:val="24"/>
                <w:szCs w:val="24"/>
              </w:rPr>
              <w:t>Привлечение  внимания инвесторов к муниципальному имуществу, предназначенному для сдачи в аренду, соблюдение сроков по оказанию муниципальных услуг</w:t>
            </w:r>
          </w:p>
        </w:tc>
      </w:tr>
      <w:tr w:rsidR="008F4C14" w:rsidRPr="008F4C14" w:rsidTr="008F4C14">
        <w:tc>
          <w:tcPr>
            <w:tcW w:w="15593" w:type="dxa"/>
            <w:gridSpan w:val="6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b/>
                <w:sz w:val="24"/>
              </w:rPr>
              <w:t xml:space="preserve">                                                                                        2.Информационное обеспечение инвестиционного процесса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3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1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2.1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pStyle w:val="Style23"/>
              <w:widowControl/>
              <w:tabs>
                <w:tab w:val="left" w:pos="1445"/>
                <w:tab w:val="left" w:pos="5184"/>
              </w:tabs>
              <w:spacing w:line="240" w:lineRule="auto"/>
              <w:ind w:left="24" w:right="86" w:firstLine="0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Актуализация реестра инвестиционных проектов и перечня инвестиционных площадок, размещение на сайте муниципального образования в разделе «Инвестиционная деятельность»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14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990" w:type="dxa"/>
          </w:tcPr>
          <w:p w:rsidR="008F4C14" w:rsidRPr="008F4C14" w:rsidRDefault="001E4921" w:rsidP="008E6724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921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  <w:tc>
          <w:tcPr>
            <w:tcW w:w="3299" w:type="dxa"/>
            <w:vMerge w:val="restart"/>
          </w:tcPr>
          <w:p w:rsidR="008F4C14" w:rsidRPr="008F4C14" w:rsidRDefault="008F4C14" w:rsidP="008E6724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14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инвестиционного процесса, предоставление в открытом доступе информации о районе для потенциальных инвесторов, в том числе об инвестиционных площадках и инвестиционных проектах</w:t>
            </w: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1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2.2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Публикация материалов о деятельности Администрации района на официальном сайте и средствах массовой информации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постоянно</w:t>
            </w:r>
          </w:p>
        </w:tc>
        <w:tc>
          <w:tcPr>
            <w:tcW w:w="2990" w:type="dxa"/>
          </w:tcPr>
          <w:p w:rsidR="008F4C14" w:rsidRPr="008F4C14" w:rsidRDefault="001E4921" w:rsidP="008E6724">
            <w:pPr>
              <w:jc w:val="both"/>
              <w:rPr>
                <w:rStyle w:val="FontStyle29"/>
                <w:sz w:val="24"/>
              </w:rPr>
            </w:pPr>
            <w:r w:rsidRPr="001E4921">
              <w:t>Управление по экономическому развитию и имущественным отношениям</w:t>
            </w:r>
          </w:p>
        </w:tc>
        <w:tc>
          <w:tcPr>
            <w:tcW w:w="3299" w:type="dxa"/>
            <w:vMerge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c>
          <w:tcPr>
            <w:tcW w:w="12294" w:type="dxa"/>
            <w:gridSpan w:val="5"/>
            <w:tcBorders>
              <w:right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b/>
                <w:sz w:val="24"/>
              </w:rPr>
            </w:pPr>
            <w:r w:rsidRPr="008F4C14">
              <w:rPr>
                <w:rStyle w:val="FontStyle29"/>
                <w:b/>
                <w:sz w:val="24"/>
              </w:rPr>
              <w:lastRenderedPageBreak/>
              <w:t xml:space="preserve">                                                                                           3.Муниципальная поддержка инвестиционных проектов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2059" w:type="dxa"/>
            <w:tcBorders>
              <w:top w:val="nil"/>
              <w:bottom w:val="nil"/>
              <w:right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3"/>
            <w:tcBorders>
              <w:left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1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3.1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 xml:space="preserve">Рассмотрение инвестиционных проектов на заседании  инвестиционного  Совета при главе Администрации района 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 мере необходимости</w:t>
            </w:r>
          </w:p>
        </w:tc>
        <w:tc>
          <w:tcPr>
            <w:tcW w:w="2990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Инвестиционный Совет</w:t>
            </w:r>
          </w:p>
        </w:tc>
        <w:tc>
          <w:tcPr>
            <w:tcW w:w="3299" w:type="dxa"/>
            <w:vMerge w:val="restart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Оказание инвесторам организационной  и правовой поддержки.</w:t>
            </w: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1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3.2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Сопровождение инвестиционных проектов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постоянно</w:t>
            </w:r>
          </w:p>
        </w:tc>
        <w:tc>
          <w:tcPr>
            <w:tcW w:w="2990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Инвестиционный уполномоченный, заместители главы Администрации района, курирующие данное направление</w:t>
            </w:r>
          </w:p>
        </w:tc>
        <w:tc>
          <w:tcPr>
            <w:tcW w:w="3299" w:type="dxa"/>
            <w:vMerge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1" w:type="dxa"/>
          </w:tcPr>
          <w:p w:rsidR="008F4C14" w:rsidRPr="008F4C14" w:rsidRDefault="008F4C14" w:rsidP="008E6724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pStyle w:val="Style23"/>
              <w:widowControl/>
              <w:tabs>
                <w:tab w:val="left" w:pos="1661"/>
                <w:tab w:val="left" w:pos="5184"/>
              </w:tabs>
              <w:spacing w:line="240" w:lineRule="auto"/>
              <w:ind w:left="24" w:right="266" w:firstLine="0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Оказание административной поддержки инвесторам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spacing w:before="60"/>
              <w:jc w:val="both"/>
            </w:pPr>
            <w:r w:rsidRPr="008F4C14">
              <w:t>постоянно</w:t>
            </w:r>
          </w:p>
        </w:tc>
        <w:tc>
          <w:tcPr>
            <w:tcW w:w="2990" w:type="dxa"/>
          </w:tcPr>
          <w:p w:rsidR="008F4C14" w:rsidRPr="008F4C14" w:rsidRDefault="008400A2" w:rsidP="008E6724">
            <w:pPr>
              <w:spacing w:before="60"/>
              <w:jc w:val="both"/>
            </w:pPr>
            <w:r w:rsidRPr="008400A2">
              <w:t>Управление по экономическому развитию и имущественным отношениям; Управление по архитектуре, строительству, жилищно-коммунальному хозяйству и транспорту Администрации района</w:t>
            </w:r>
          </w:p>
        </w:tc>
        <w:tc>
          <w:tcPr>
            <w:tcW w:w="3299" w:type="dxa"/>
          </w:tcPr>
          <w:p w:rsidR="008F4C14" w:rsidRPr="008F4C14" w:rsidRDefault="008F4C14" w:rsidP="008E6724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14">
              <w:rPr>
                <w:rFonts w:ascii="Times New Roman" w:hAnsi="Times New Roman" w:cs="Times New Roman"/>
                <w:sz w:val="24"/>
                <w:szCs w:val="24"/>
              </w:rPr>
              <w:t>Сокращение сроков  подготовки нормативных документов</w:t>
            </w:r>
          </w:p>
        </w:tc>
      </w:tr>
      <w:tr w:rsidR="008F4C14" w:rsidRPr="008F4C14" w:rsidTr="008F4C14">
        <w:trPr>
          <w:gridAfter w:val="7"/>
          <w:wAfter w:w="16087" w:type="dxa"/>
          <w:trHeight w:val="1255"/>
        </w:trPr>
        <w:tc>
          <w:tcPr>
            <w:tcW w:w="701" w:type="dxa"/>
          </w:tcPr>
          <w:p w:rsidR="008F4C14" w:rsidRPr="008F4C14" w:rsidRDefault="008F4C14" w:rsidP="008400A2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3.</w:t>
            </w:r>
            <w:r w:rsidR="008400A2">
              <w:rPr>
                <w:rStyle w:val="FontStyle29"/>
                <w:sz w:val="24"/>
              </w:rPr>
              <w:t>4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 xml:space="preserve">Мероприятия по предоставлению консультаций о действующей государственной поддержке предприятий реального сектора экономики (в </w:t>
            </w:r>
            <w:proofErr w:type="spellStart"/>
            <w:r w:rsidRPr="008F4C14">
              <w:rPr>
                <w:rStyle w:val="FontStyle29"/>
                <w:sz w:val="24"/>
              </w:rPr>
              <w:t>т.ч</w:t>
            </w:r>
            <w:proofErr w:type="spellEnd"/>
            <w:r w:rsidRPr="008F4C14">
              <w:rPr>
                <w:rStyle w:val="FontStyle29"/>
                <w:sz w:val="24"/>
              </w:rPr>
              <w:t>. субъектов малого и среднего бизнеса).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постоянно</w:t>
            </w:r>
          </w:p>
        </w:tc>
        <w:tc>
          <w:tcPr>
            <w:tcW w:w="2990" w:type="dxa"/>
          </w:tcPr>
          <w:p w:rsidR="008F4C14" w:rsidRPr="008F4C14" w:rsidRDefault="008400A2" w:rsidP="008E6724">
            <w:pPr>
              <w:jc w:val="both"/>
            </w:pPr>
            <w:r w:rsidRPr="008400A2">
              <w:t>Управление по экономическому развитию и имущественным отношениям</w:t>
            </w:r>
          </w:p>
        </w:tc>
        <w:tc>
          <w:tcPr>
            <w:tcW w:w="3299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Оказание инвесторам информационно-консультационной помощи для участия в краевых программах и грантах с целью получения финансовой поддержки за счет средств федерального, краевого и районного бюджетов (субсидии, гранты и пр.).</w:t>
            </w:r>
          </w:p>
        </w:tc>
      </w:tr>
      <w:tr w:rsidR="008F4C14" w:rsidRPr="008F4C14" w:rsidTr="008F4C14">
        <w:tc>
          <w:tcPr>
            <w:tcW w:w="15593" w:type="dxa"/>
            <w:gridSpan w:val="6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b/>
                <w:sz w:val="24"/>
              </w:rPr>
              <w:t xml:space="preserve">                                                                                                      4.Развитие инвестиционной деятельности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3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1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4.1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Продвижение, содействие, поиск инвесторов для новых инвестиционных проектов на имеющихся площадках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постоянно</w:t>
            </w:r>
          </w:p>
        </w:tc>
        <w:tc>
          <w:tcPr>
            <w:tcW w:w="2990" w:type="dxa"/>
          </w:tcPr>
          <w:p w:rsidR="008F4C14" w:rsidRPr="008F4C14" w:rsidRDefault="008400A2" w:rsidP="008E6724">
            <w:pPr>
              <w:jc w:val="both"/>
              <w:rPr>
                <w:rStyle w:val="FontStyle29"/>
                <w:sz w:val="24"/>
              </w:rPr>
            </w:pPr>
            <w:r w:rsidRPr="008400A2">
              <w:t xml:space="preserve">Управление по экономическому развитию и имущественным отношениям; Управление по архитектуре, строительству, жилищно-коммунальному хозяйству </w:t>
            </w:r>
            <w:r w:rsidRPr="008400A2">
              <w:lastRenderedPageBreak/>
              <w:t>и транспорту Администрации района</w:t>
            </w:r>
            <w:r>
              <w:t>;</w:t>
            </w:r>
            <w:r w:rsidR="008F4C14" w:rsidRPr="008F4C14">
              <w:t xml:space="preserve"> </w:t>
            </w:r>
            <w:r w:rsidRPr="008400A2">
              <w:t>Управление по агропромышленному комплексу Администрации Троицкого района</w:t>
            </w:r>
          </w:p>
        </w:tc>
        <w:tc>
          <w:tcPr>
            <w:tcW w:w="3299" w:type="dxa"/>
            <w:vMerge w:val="restart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lastRenderedPageBreak/>
              <w:t xml:space="preserve">Максимальная загрузка  производственных площадок, создание новых производств, обеспечение новыми рабочими местами, обновление и переоценка основных фондов, </w:t>
            </w:r>
            <w:r w:rsidRPr="008F4C14">
              <w:rPr>
                <w:rStyle w:val="FontStyle29"/>
                <w:sz w:val="24"/>
              </w:rPr>
              <w:lastRenderedPageBreak/>
              <w:t>увеличение роста налоговых платежей.</w:t>
            </w:r>
          </w:p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  <w:p w:rsidR="008400A2" w:rsidRDefault="008400A2" w:rsidP="008E6724">
            <w:pPr>
              <w:jc w:val="both"/>
              <w:rPr>
                <w:rStyle w:val="FontStyle29"/>
                <w:sz w:val="24"/>
              </w:rPr>
            </w:pPr>
          </w:p>
          <w:p w:rsidR="008400A2" w:rsidRDefault="008400A2" w:rsidP="008E6724">
            <w:pPr>
              <w:jc w:val="both"/>
              <w:rPr>
                <w:rStyle w:val="FontStyle29"/>
                <w:sz w:val="24"/>
              </w:rPr>
            </w:pPr>
          </w:p>
          <w:p w:rsidR="008400A2" w:rsidRDefault="008400A2" w:rsidP="008E6724">
            <w:pPr>
              <w:jc w:val="both"/>
              <w:rPr>
                <w:rStyle w:val="FontStyle29"/>
                <w:sz w:val="24"/>
              </w:rPr>
            </w:pPr>
          </w:p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Обмен информацией по реализуемым проектам</w:t>
            </w:r>
          </w:p>
        </w:tc>
      </w:tr>
      <w:tr w:rsidR="006552AF" w:rsidRPr="008F4C14" w:rsidTr="006552AF">
        <w:trPr>
          <w:gridAfter w:val="7"/>
          <w:wAfter w:w="16087" w:type="dxa"/>
          <w:trHeight w:val="2304"/>
        </w:trPr>
        <w:tc>
          <w:tcPr>
            <w:tcW w:w="701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lastRenderedPageBreak/>
              <w:t>4.2</w:t>
            </w:r>
          </w:p>
        </w:tc>
        <w:tc>
          <w:tcPr>
            <w:tcW w:w="6645" w:type="dxa"/>
            <w:gridSpan w:val="2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Определить «точки роста» муниципального района и ежеквартально осуществлять их мониторинг</w:t>
            </w:r>
          </w:p>
        </w:tc>
        <w:tc>
          <w:tcPr>
            <w:tcW w:w="1958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ежеквартально</w:t>
            </w:r>
          </w:p>
        </w:tc>
        <w:tc>
          <w:tcPr>
            <w:tcW w:w="2990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6552AF">
              <w:t>Управление по экономическому развитию и имущественным отношениям;</w:t>
            </w:r>
            <w:r>
              <w:t xml:space="preserve"> </w:t>
            </w:r>
            <w:r w:rsidRPr="006552AF">
              <w:t>Управление по агропромышленному комплексу Администрации Троицкого района</w:t>
            </w:r>
          </w:p>
        </w:tc>
        <w:tc>
          <w:tcPr>
            <w:tcW w:w="3299" w:type="dxa"/>
            <w:vMerge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rPr>
          <w:gridAfter w:val="2"/>
          <w:wAfter w:w="6304" w:type="dxa"/>
        </w:trPr>
        <w:tc>
          <w:tcPr>
            <w:tcW w:w="701" w:type="dxa"/>
          </w:tcPr>
          <w:p w:rsidR="008F4C14" w:rsidRPr="008F4C14" w:rsidRDefault="008F4C14" w:rsidP="006552AF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4.</w:t>
            </w:r>
            <w:r w:rsidR="006552AF">
              <w:rPr>
                <w:rStyle w:val="FontStyle29"/>
                <w:sz w:val="24"/>
              </w:rPr>
              <w:t>3</w:t>
            </w:r>
          </w:p>
        </w:tc>
        <w:tc>
          <w:tcPr>
            <w:tcW w:w="6645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Подготовка и проведение заседаний  инвестиционного  Совета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В соответствии с  планом работы</w:t>
            </w:r>
          </w:p>
        </w:tc>
        <w:tc>
          <w:tcPr>
            <w:tcW w:w="2990" w:type="dxa"/>
          </w:tcPr>
          <w:p w:rsidR="008F4C14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6552AF">
              <w:t>Управление по экономическому развитию и имущественным отношениям</w:t>
            </w:r>
          </w:p>
        </w:tc>
        <w:tc>
          <w:tcPr>
            <w:tcW w:w="3299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Создание информационной доступности</w:t>
            </w:r>
          </w:p>
        </w:tc>
        <w:tc>
          <w:tcPr>
            <w:tcW w:w="3506" w:type="dxa"/>
            <w:gridSpan w:val="2"/>
            <w:tcBorders>
              <w:top w:val="nil"/>
              <w:bottom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313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3139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c>
          <w:tcPr>
            <w:tcW w:w="15593" w:type="dxa"/>
            <w:gridSpan w:val="6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b/>
                <w:sz w:val="24"/>
              </w:rPr>
              <w:t xml:space="preserve">                                                                                                               5.Формирование имиджа района  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3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  <w:gridSpan w:val="2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  <w:tc>
          <w:tcPr>
            <w:tcW w:w="4676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6552AF" w:rsidRPr="008F4C14" w:rsidTr="006552AF">
        <w:trPr>
          <w:gridAfter w:val="7"/>
          <w:wAfter w:w="16087" w:type="dxa"/>
          <w:trHeight w:val="2232"/>
        </w:trPr>
        <w:tc>
          <w:tcPr>
            <w:tcW w:w="701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5.1</w:t>
            </w:r>
          </w:p>
        </w:tc>
        <w:tc>
          <w:tcPr>
            <w:tcW w:w="6645" w:type="dxa"/>
            <w:gridSpan w:val="2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Участие предприятий и организаций района в районных и региональных выставках</w:t>
            </w:r>
          </w:p>
        </w:tc>
        <w:tc>
          <w:tcPr>
            <w:tcW w:w="1958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 мере поступления предложений</w:t>
            </w:r>
          </w:p>
        </w:tc>
        <w:tc>
          <w:tcPr>
            <w:tcW w:w="2990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6552AF">
              <w:t>Управление по экономическому развитию и имущественным отношениям; Управление по агропромышленному комплексу Администрации Троицкого района</w:t>
            </w:r>
          </w:p>
        </w:tc>
        <w:tc>
          <w:tcPr>
            <w:tcW w:w="3299" w:type="dxa"/>
            <w:vMerge w:val="restart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 xml:space="preserve">Формирование имиджа района как открытого, прогрессивного и успешного. Повышение  рейтинга района.  Участие  в выставках.    </w:t>
            </w:r>
          </w:p>
        </w:tc>
      </w:tr>
      <w:tr w:rsidR="006552AF" w:rsidRPr="008F4C14" w:rsidTr="006552AF">
        <w:trPr>
          <w:gridAfter w:val="7"/>
          <w:wAfter w:w="16087" w:type="dxa"/>
          <w:trHeight w:val="602"/>
        </w:trPr>
        <w:tc>
          <w:tcPr>
            <w:tcW w:w="701" w:type="dxa"/>
          </w:tcPr>
          <w:p w:rsidR="006552AF" w:rsidRPr="008F4C14" w:rsidRDefault="006552AF" w:rsidP="00F23738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5.</w:t>
            </w:r>
            <w:r w:rsidR="00F23738">
              <w:rPr>
                <w:rStyle w:val="FontStyle29"/>
                <w:sz w:val="24"/>
              </w:rPr>
              <w:t>2</w:t>
            </w:r>
          </w:p>
        </w:tc>
        <w:tc>
          <w:tcPr>
            <w:tcW w:w="6645" w:type="dxa"/>
            <w:gridSpan w:val="2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Поддержка в актуальном состоянии сайта района</w:t>
            </w:r>
          </w:p>
        </w:tc>
        <w:tc>
          <w:tcPr>
            <w:tcW w:w="1958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постоянно</w:t>
            </w:r>
          </w:p>
        </w:tc>
        <w:tc>
          <w:tcPr>
            <w:tcW w:w="2990" w:type="dxa"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  <w:r w:rsidRPr="006552AF">
              <w:t>Заведующий сектором информатизации</w:t>
            </w:r>
          </w:p>
        </w:tc>
        <w:tc>
          <w:tcPr>
            <w:tcW w:w="3299" w:type="dxa"/>
            <w:vMerge/>
          </w:tcPr>
          <w:p w:rsidR="006552AF" w:rsidRPr="008F4C14" w:rsidRDefault="006552AF" w:rsidP="008E6724">
            <w:pPr>
              <w:jc w:val="both"/>
              <w:rPr>
                <w:rStyle w:val="FontStyle29"/>
                <w:sz w:val="24"/>
              </w:rPr>
            </w:pP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15593" w:type="dxa"/>
            <w:gridSpan w:val="6"/>
          </w:tcPr>
          <w:p w:rsidR="008F4C14" w:rsidRPr="008F4C14" w:rsidRDefault="008F4C14" w:rsidP="006C0E07">
            <w:pPr>
              <w:jc w:val="center"/>
              <w:rPr>
                <w:rStyle w:val="FontStyle29"/>
                <w:b/>
                <w:sz w:val="24"/>
              </w:rPr>
            </w:pPr>
            <w:r w:rsidRPr="008F4C14">
              <w:rPr>
                <w:rStyle w:val="FontStyle29"/>
                <w:b/>
                <w:sz w:val="24"/>
              </w:rPr>
              <w:t>6</w:t>
            </w:r>
            <w:r w:rsidR="00F23738">
              <w:rPr>
                <w:rStyle w:val="FontStyle29"/>
                <w:b/>
                <w:sz w:val="24"/>
              </w:rPr>
              <w:t xml:space="preserve">. </w:t>
            </w:r>
            <w:r w:rsidRPr="008F4C14">
              <w:rPr>
                <w:rStyle w:val="FontStyle29"/>
                <w:b/>
                <w:sz w:val="24"/>
              </w:rPr>
              <w:t>Создание условий для развития конкуренции на приоритетных и социально значимых рынках</w:t>
            </w: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9" w:type="dxa"/>
            <w:gridSpan w:val="2"/>
          </w:tcPr>
          <w:p w:rsidR="008F4C14" w:rsidRPr="008F4C14" w:rsidRDefault="008F4C14" w:rsidP="006C0E07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6.1</w:t>
            </w:r>
          </w:p>
        </w:tc>
        <w:tc>
          <w:tcPr>
            <w:tcW w:w="6637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Расширение ярмарочной торговли в муниципальном образовании с привлечением местных товаропроизводителей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 мере необходимости</w:t>
            </w:r>
          </w:p>
        </w:tc>
        <w:tc>
          <w:tcPr>
            <w:tcW w:w="2990" w:type="dxa"/>
          </w:tcPr>
          <w:p w:rsidR="008F4C14" w:rsidRPr="008F4C14" w:rsidRDefault="006552AF" w:rsidP="008E6724">
            <w:pPr>
              <w:jc w:val="both"/>
            </w:pPr>
            <w:r w:rsidRPr="006552AF">
              <w:t xml:space="preserve">Управление по экономическому развитию и имущественным отношениям; Управление по агропромышленному </w:t>
            </w:r>
            <w:r w:rsidRPr="006552AF">
              <w:lastRenderedPageBreak/>
              <w:t>комплексу Администрации Троицкого района</w:t>
            </w:r>
          </w:p>
        </w:tc>
        <w:tc>
          <w:tcPr>
            <w:tcW w:w="3299" w:type="dxa"/>
          </w:tcPr>
          <w:p w:rsidR="008F4C14" w:rsidRPr="008F4C14" w:rsidRDefault="008F4C14" w:rsidP="006552AF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lastRenderedPageBreak/>
              <w:t xml:space="preserve">Приобретение  населением </w:t>
            </w:r>
            <w:r w:rsidR="006552AF">
              <w:rPr>
                <w:rStyle w:val="FontStyle29"/>
                <w:sz w:val="24"/>
              </w:rPr>
              <w:t>района</w:t>
            </w:r>
            <w:r w:rsidRPr="008F4C14">
              <w:rPr>
                <w:rStyle w:val="FontStyle29"/>
                <w:sz w:val="24"/>
              </w:rPr>
              <w:t xml:space="preserve"> продовольствия, в том числе  свежей сельскохозяйственной продукции по доступным </w:t>
            </w:r>
            <w:r w:rsidRPr="008F4C14">
              <w:rPr>
                <w:rStyle w:val="FontStyle29"/>
                <w:sz w:val="24"/>
              </w:rPr>
              <w:lastRenderedPageBreak/>
              <w:t xml:space="preserve">ценам </w:t>
            </w:r>
          </w:p>
        </w:tc>
      </w:tr>
      <w:tr w:rsidR="008F4C14" w:rsidRPr="008F4C14" w:rsidTr="008F4C14">
        <w:trPr>
          <w:gridAfter w:val="7"/>
          <w:wAfter w:w="16087" w:type="dxa"/>
        </w:trPr>
        <w:tc>
          <w:tcPr>
            <w:tcW w:w="709" w:type="dxa"/>
            <w:gridSpan w:val="2"/>
          </w:tcPr>
          <w:p w:rsidR="008F4C14" w:rsidRPr="008F4C14" w:rsidRDefault="008F4C14" w:rsidP="006C0E07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lastRenderedPageBreak/>
              <w:t>6.1</w:t>
            </w:r>
          </w:p>
        </w:tc>
        <w:tc>
          <w:tcPr>
            <w:tcW w:w="6637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Организация и проведение методологической работы муниципальных образований по вопросам предоставления необходимых данных в ГИС ЖКХ в соответствии с Федеральным законом от 21 июля 2014 года №209-ФЗ «О государственной информационной системе жилищно-коммунального хозяйства»</w:t>
            </w:r>
          </w:p>
        </w:tc>
        <w:tc>
          <w:tcPr>
            <w:tcW w:w="1958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По мере необходимости</w:t>
            </w:r>
          </w:p>
        </w:tc>
        <w:tc>
          <w:tcPr>
            <w:tcW w:w="2990" w:type="dxa"/>
          </w:tcPr>
          <w:p w:rsidR="008F4C14" w:rsidRPr="008F4C14" w:rsidRDefault="00377EE2" w:rsidP="008E6724">
            <w:pPr>
              <w:jc w:val="both"/>
            </w:pPr>
            <w:r w:rsidRPr="00377EE2">
              <w:t>Управление по архитектуре, строительству, жилищно-коммунальному хозяйству и транспорту Администрации района</w:t>
            </w:r>
          </w:p>
        </w:tc>
        <w:tc>
          <w:tcPr>
            <w:tcW w:w="3299" w:type="dxa"/>
          </w:tcPr>
          <w:p w:rsidR="008F4C14" w:rsidRPr="008F4C14" w:rsidRDefault="008F4C14" w:rsidP="008E6724">
            <w:pPr>
              <w:jc w:val="both"/>
              <w:rPr>
                <w:rStyle w:val="FontStyle29"/>
                <w:sz w:val="24"/>
              </w:rPr>
            </w:pPr>
            <w:r w:rsidRPr="008F4C14">
              <w:rPr>
                <w:rStyle w:val="FontStyle29"/>
                <w:sz w:val="24"/>
              </w:rPr>
              <w:t>Предоставление соответствующих данных в ГИС ЖКХ</w:t>
            </w:r>
          </w:p>
        </w:tc>
      </w:tr>
    </w:tbl>
    <w:p w:rsidR="008F4C14" w:rsidRPr="008F4C14" w:rsidRDefault="008F4C14" w:rsidP="008F4C14">
      <w:pPr>
        <w:jc w:val="both"/>
        <w:rPr>
          <w:b/>
        </w:rPr>
      </w:pPr>
    </w:p>
    <w:p w:rsidR="008F4C14" w:rsidRPr="008F4C14" w:rsidRDefault="008F4C14" w:rsidP="008358B7">
      <w:pPr>
        <w:spacing w:line="25" w:lineRule="atLeast"/>
        <w:ind w:right="-6"/>
        <w:jc w:val="both"/>
      </w:pPr>
    </w:p>
    <w:sectPr w:rsidR="008F4C14" w:rsidRPr="008F4C14" w:rsidSect="008F4C14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DC" w:rsidRDefault="007C29DC">
      <w:r>
        <w:separator/>
      </w:r>
    </w:p>
  </w:endnote>
  <w:endnote w:type="continuationSeparator" w:id="0">
    <w:p w:rsidR="007C29DC" w:rsidRDefault="007C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DC" w:rsidRDefault="007C29DC">
      <w:r>
        <w:separator/>
      </w:r>
    </w:p>
  </w:footnote>
  <w:footnote w:type="continuationSeparator" w:id="0">
    <w:p w:rsidR="007C29DC" w:rsidRDefault="007C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7221"/>
    <w:multiLevelType w:val="hybridMultilevel"/>
    <w:tmpl w:val="FF6C8174"/>
    <w:lvl w:ilvl="0" w:tplc="D1D09F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85CBB6E">
      <w:numFmt w:val="none"/>
      <w:lvlText w:val=""/>
      <w:lvlJc w:val="left"/>
      <w:pPr>
        <w:tabs>
          <w:tab w:val="num" w:pos="0"/>
        </w:tabs>
      </w:pPr>
    </w:lvl>
    <w:lvl w:ilvl="2" w:tplc="EE1AF0D0">
      <w:numFmt w:val="none"/>
      <w:lvlText w:val=""/>
      <w:lvlJc w:val="left"/>
      <w:pPr>
        <w:tabs>
          <w:tab w:val="num" w:pos="0"/>
        </w:tabs>
      </w:pPr>
    </w:lvl>
    <w:lvl w:ilvl="3" w:tplc="FF5AEDFE">
      <w:numFmt w:val="none"/>
      <w:lvlText w:val=""/>
      <w:lvlJc w:val="left"/>
      <w:pPr>
        <w:tabs>
          <w:tab w:val="num" w:pos="0"/>
        </w:tabs>
      </w:pPr>
    </w:lvl>
    <w:lvl w:ilvl="4" w:tplc="E2F20A0C">
      <w:numFmt w:val="none"/>
      <w:lvlText w:val=""/>
      <w:lvlJc w:val="left"/>
      <w:pPr>
        <w:tabs>
          <w:tab w:val="num" w:pos="0"/>
        </w:tabs>
      </w:pPr>
    </w:lvl>
    <w:lvl w:ilvl="5" w:tplc="EEEED15A">
      <w:numFmt w:val="none"/>
      <w:lvlText w:val=""/>
      <w:lvlJc w:val="left"/>
      <w:pPr>
        <w:tabs>
          <w:tab w:val="num" w:pos="0"/>
        </w:tabs>
      </w:pPr>
    </w:lvl>
    <w:lvl w:ilvl="6" w:tplc="F9083EDE">
      <w:numFmt w:val="none"/>
      <w:lvlText w:val=""/>
      <w:lvlJc w:val="left"/>
      <w:pPr>
        <w:tabs>
          <w:tab w:val="num" w:pos="0"/>
        </w:tabs>
      </w:pPr>
    </w:lvl>
    <w:lvl w:ilvl="7" w:tplc="5652DE60">
      <w:numFmt w:val="none"/>
      <w:lvlText w:val=""/>
      <w:lvlJc w:val="left"/>
      <w:pPr>
        <w:tabs>
          <w:tab w:val="num" w:pos="0"/>
        </w:tabs>
      </w:pPr>
    </w:lvl>
    <w:lvl w:ilvl="8" w:tplc="B64AD3B8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43055C2A"/>
    <w:multiLevelType w:val="hybridMultilevel"/>
    <w:tmpl w:val="E37ED36C"/>
    <w:lvl w:ilvl="0" w:tplc="9CFAC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501729"/>
    <w:multiLevelType w:val="hybridMultilevel"/>
    <w:tmpl w:val="34C6EF7C"/>
    <w:lvl w:ilvl="0" w:tplc="DA84A6B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CC4ECA"/>
    <w:multiLevelType w:val="hybridMultilevel"/>
    <w:tmpl w:val="0FAC9C94"/>
    <w:lvl w:ilvl="0" w:tplc="97504D26">
      <w:start w:val="1"/>
      <w:numFmt w:val="decimal"/>
      <w:lvlText w:val="%1."/>
      <w:lvlJc w:val="left"/>
      <w:pPr>
        <w:ind w:left="18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73C63EE7"/>
    <w:multiLevelType w:val="hybridMultilevel"/>
    <w:tmpl w:val="3C9C924E"/>
    <w:lvl w:ilvl="0" w:tplc="9CFACC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9F578D"/>
    <w:multiLevelType w:val="hybridMultilevel"/>
    <w:tmpl w:val="125827A2"/>
    <w:lvl w:ilvl="0" w:tplc="5AA6F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7576A"/>
    <w:multiLevelType w:val="hybridMultilevel"/>
    <w:tmpl w:val="37A4DF8E"/>
    <w:lvl w:ilvl="0" w:tplc="91F85A44">
      <w:start w:val="3"/>
      <w:numFmt w:val="bullet"/>
      <w:lvlText w:val="-"/>
      <w:lvlJc w:val="left"/>
      <w:pPr>
        <w:tabs>
          <w:tab w:val="num" w:pos="1032"/>
        </w:tabs>
        <w:ind w:left="1032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0B"/>
    <w:rsid w:val="000025D5"/>
    <w:rsid w:val="00022DDF"/>
    <w:rsid w:val="00023923"/>
    <w:rsid w:val="0003357F"/>
    <w:rsid w:val="000346A2"/>
    <w:rsid w:val="00045658"/>
    <w:rsid w:val="00054EDF"/>
    <w:rsid w:val="00060337"/>
    <w:rsid w:val="000857FE"/>
    <w:rsid w:val="00087C57"/>
    <w:rsid w:val="00087F8C"/>
    <w:rsid w:val="00093047"/>
    <w:rsid w:val="00097479"/>
    <w:rsid w:val="000A5CA3"/>
    <w:rsid w:val="000A5D6B"/>
    <w:rsid w:val="000B3228"/>
    <w:rsid w:val="000B3D47"/>
    <w:rsid w:val="000B568F"/>
    <w:rsid w:val="00101DAB"/>
    <w:rsid w:val="00122C80"/>
    <w:rsid w:val="00165C78"/>
    <w:rsid w:val="00185CA6"/>
    <w:rsid w:val="001942FA"/>
    <w:rsid w:val="00196B19"/>
    <w:rsid w:val="001A2B21"/>
    <w:rsid w:val="001B577F"/>
    <w:rsid w:val="001D304D"/>
    <w:rsid w:val="001D515D"/>
    <w:rsid w:val="001D74BD"/>
    <w:rsid w:val="001E1DEA"/>
    <w:rsid w:val="001E4921"/>
    <w:rsid w:val="00220D2B"/>
    <w:rsid w:val="00226110"/>
    <w:rsid w:val="002504ED"/>
    <w:rsid w:val="002649C6"/>
    <w:rsid w:val="00287B53"/>
    <w:rsid w:val="002944A1"/>
    <w:rsid w:val="002A5B40"/>
    <w:rsid w:val="002D299A"/>
    <w:rsid w:val="002E185C"/>
    <w:rsid w:val="00336295"/>
    <w:rsid w:val="00372383"/>
    <w:rsid w:val="00377EE2"/>
    <w:rsid w:val="0039219B"/>
    <w:rsid w:val="003A4C08"/>
    <w:rsid w:val="003B0007"/>
    <w:rsid w:val="003C2F7D"/>
    <w:rsid w:val="003C53B2"/>
    <w:rsid w:val="003D55C7"/>
    <w:rsid w:val="003D63B9"/>
    <w:rsid w:val="003D67F4"/>
    <w:rsid w:val="003E1FF7"/>
    <w:rsid w:val="004228E3"/>
    <w:rsid w:val="00440FF2"/>
    <w:rsid w:val="004710CE"/>
    <w:rsid w:val="00482BFB"/>
    <w:rsid w:val="00482FD2"/>
    <w:rsid w:val="004856F5"/>
    <w:rsid w:val="004978E7"/>
    <w:rsid w:val="004A6723"/>
    <w:rsid w:val="004C314D"/>
    <w:rsid w:val="004D4C24"/>
    <w:rsid w:val="004F617A"/>
    <w:rsid w:val="005205C9"/>
    <w:rsid w:val="00530C2A"/>
    <w:rsid w:val="00533436"/>
    <w:rsid w:val="00557ADD"/>
    <w:rsid w:val="00561F2D"/>
    <w:rsid w:val="00563522"/>
    <w:rsid w:val="005C18BF"/>
    <w:rsid w:val="005E5930"/>
    <w:rsid w:val="005F211F"/>
    <w:rsid w:val="006025B9"/>
    <w:rsid w:val="00620185"/>
    <w:rsid w:val="0062131F"/>
    <w:rsid w:val="0062664C"/>
    <w:rsid w:val="006552AF"/>
    <w:rsid w:val="00661A27"/>
    <w:rsid w:val="00670863"/>
    <w:rsid w:val="006817F2"/>
    <w:rsid w:val="0068644C"/>
    <w:rsid w:val="00686A33"/>
    <w:rsid w:val="00687670"/>
    <w:rsid w:val="006915CE"/>
    <w:rsid w:val="006B29A9"/>
    <w:rsid w:val="006C0E07"/>
    <w:rsid w:val="006C10A1"/>
    <w:rsid w:val="006C2D55"/>
    <w:rsid w:val="006C6880"/>
    <w:rsid w:val="006F261D"/>
    <w:rsid w:val="00706CD0"/>
    <w:rsid w:val="00734923"/>
    <w:rsid w:val="00734EF9"/>
    <w:rsid w:val="007470F7"/>
    <w:rsid w:val="00761DC1"/>
    <w:rsid w:val="00781587"/>
    <w:rsid w:val="00784B1B"/>
    <w:rsid w:val="007932FC"/>
    <w:rsid w:val="007C29DC"/>
    <w:rsid w:val="007D3BBA"/>
    <w:rsid w:val="007D50E3"/>
    <w:rsid w:val="007E6380"/>
    <w:rsid w:val="007F2F21"/>
    <w:rsid w:val="007F640B"/>
    <w:rsid w:val="00802C0F"/>
    <w:rsid w:val="00817C8C"/>
    <w:rsid w:val="00830809"/>
    <w:rsid w:val="008358B7"/>
    <w:rsid w:val="008400A2"/>
    <w:rsid w:val="00864665"/>
    <w:rsid w:val="008841BF"/>
    <w:rsid w:val="00886B83"/>
    <w:rsid w:val="00896052"/>
    <w:rsid w:val="008A218A"/>
    <w:rsid w:val="008A5581"/>
    <w:rsid w:val="008B4537"/>
    <w:rsid w:val="008B5BA1"/>
    <w:rsid w:val="008C006E"/>
    <w:rsid w:val="008F3BD5"/>
    <w:rsid w:val="008F4C14"/>
    <w:rsid w:val="008F4DB0"/>
    <w:rsid w:val="0090052A"/>
    <w:rsid w:val="00901398"/>
    <w:rsid w:val="00910CFF"/>
    <w:rsid w:val="00923C42"/>
    <w:rsid w:val="00937728"/>
    <w:rsid w:val="00942E41"/>
    <w:rsid w:val="00953121"/>
    <w:rsid w:val="00967287"/>
    <w:rsid w:val="00983D52"/>
    <w:rsid w:val="009D0A56"/>
    <w:rsid w:val="009D33B7"/>
    <w:rsid w:val="009D71B5"/>
    <w:rsid w:val="009E1E08"/>
    <w:rsid w:val="00A059D4"/>
    <w:rsid w:val="00A1274C"/>
    <w:rsid w:val="00A265B7"/>
    <w:rsid w:val="00A70EF7"/>
    <w:rsid w:val="00A756A6"/>
    <w:rsid w:val="00A83FCA"/>
    <w:rsid w:val="00A9281F"/>
    <w:rsid w:val="00A97AFE"/>
    <w:rsid w:val="00AC3EC4"/>
    <w:rsid w:val="00AD0F47"/>
    <w:rsid w:val="00AD5335"/>
    <w:rsid w:val="00AE5F69"/>
    <w:rsid w:val="00B01AA8"/>
    <w:rsid w:val="00B145DF"/>
    <w:rsid w:val="00B60151"/>
    <w:rsid w:val="00B7527D"/>
    <w:rsid w:val="00B808E4"/>
    <w:rsid w:val="00B80B3A"/>
    <w:rsid w:val="00B8328C"/>
    <w:rsid w:val="00B90621"/>
    <w:rsid w:val="00BA64DC"/>
    <w:rsid w:val="00BB1166"/>
    <w:rsid w:val="00BD7C6A"/>
    <w:rsid w:val="00BE0944"/>
    <w:rsid w:val="00C328EC"/>
    <w:rsid w:val="00C4709E"/>
    <w:rsid w:val="00C7511D"/>
    <w:rsid w:val="00C80941"/>
    <w:rsid w:val="00C97136"/>
    <w:rsid w:val="00CC2D39"/>
    <w:rsid w:val="00D45162"/>
    <w:rsid w:val="00D636D1"/>
    <w:rsid w:val="00D70E51"/>
    <w:rsid w:val="00D71EA9"/>
    <w:rsid w:val="00D76660"/>
    <w:rsid w:val="00D83801"/>
    <w:rsid w:val="00D83814"/>
    <w:rsid w:val="00D970B4"/>
    <w:rsid w:val="00DC24B8"/>
    <w:rsid w:val="00DD2E0B"/>
    <w:rsid w:val="00E03666"/>
    <w:rsid w:val="00E0660E"/>
    <w:rsid w:val="00E160B3"/>
    <w:rsid w:val="00E26C8C"/>
    <w:rsid w:val="00E32FC8"/>
    <w:rsid w:val="00E36528"/>
    <w:rsid w:val="00E37D1E"/>
    <w:rsid w:val="00E415D3"/>
    <w:rsid w:val="00E52723"/>
    <w:rsid w:val="00E5561F"/>
    <w:rsid w:val="00E80E74"/>
    <w:rsid w:val="00EF1119"/>
    <w:rsid w:val="00F12BED"/>
    <w:rsid w:val="00F13CEE"/>
    <w:rsid w:val="00F16817"/>
    <w:rsid w:val="00F23738"/>
    <w:rsid w:val="00F241C6"/>
    <w:rsid w:val="00F33308"/>
    <w:rsid w:val="00F532A5"/>
    <w:rsid w:val="00F76AE2"/>
    <w:rsid w:val="00F830B7"/>
    <w:rsid w:val="00F87C19"/>
    <w:rsid w:val="00FB3E8F"/>
    <w:rsid w:val="00FC43DE"/>
    <w:rsid w:val="00FE6073"/>
    <w:rsid w:val="00FE7EE7"/>
    <w:rsid w:val="00FF0DA1"/>
    <w:rsid w:val="00FF3346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A9"/>
    <w:rPr>
      <w:sz w:val="24"/>
      <w:szCs w:val="24"/>
    </w:rPr>
  </w:style>
  <w:style w:type="paragraph" w:styleId="1">
    <w:name w:val="heading 1"/>
    <w:basedOn w:val="a"/>
    <w:next w:val="a"/>
    <w:qFormat/>
    <w:rsid w:val="008B4537"/>
    <w:pPr>
      <w:ind w:firstLine="360"/>
      <w:jc w:val="both"/>
      <w:outlineLvl w:val="0"/>
    </w:pPr>
  </w:style>
  <w:style w:type="paragraph" w:styleId="2">
    <w:name w:val="heading 2"/>
    <w:basedOn w:val="a"/>
    <w:next w:val="a"/>
    <w:qFormat/>
    <w:rsid w:val="00D71EA9"/>
    <w:pPr>
      <w:keepNext/>
      <w:ind w:firstLine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1EA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71EA9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D71EA9"/>
    <w:pPr>
      <w:spacing w:line="360" w:lineRule="auto"/>
      <w:ind w:right="-6"/>
    </w:pPr>
  </w:style>
  <w:style w:type="paragraph" w:styleId="20">
    <w:name w:val="Body Text 2"/>
    <w:basedOn w:val="a"/>
    <w:semiHidden/>
    <w:rsid w:val="00D71EA9"/>
    <w:pPr>
      <w:spacing w:line="360" w:lineRule="auto"/>
      <w:ind w:right="-6"/>
    </w:pPr>
    <w:rPr>
      <w:sz w:val="22"/>
    </w:rPr>
  </w:style>
  <w:style w:type="paragraph" w:styleId="a6">
    <w:name w:val="Body Text Indent"/>
    <w:basedOn w:val="a"/>
    <w:semiHidden/>
    <w:rsid w:val="00D71EA9"/>
    <w:pPr>
      <w:spacing w:line="360" w:lineRule="auto"/>
      <w:ind w:right="-6" w:firstLine="720"/>
    </w:pPr>
  </w:style>
  <w:style w:type="paragraph" w:styleId="21">
    <w:name w:val="Body Text Indent 2"/>
    <w:basedOn w:val="a"/>
    <w:semiHidden/>
    <w:rsid w:val="00D71EA9"/>
    <w:pPr>
      <w:spacing w:line="360" w:lineRule="auto"/>
      <w:ind w:right="-6" w:firstLine="360"/>
      <w:jc w:val="center"/>
    </w:pPr>
  </w:style>
  <w:style w:type="paragraph" w:styleId="3">
    <w:name w:val="Body Text Indent 3"/>
    <w:basedOn w:val="a"/>
    <w:semiHidden/>
    <w:rsid w:val="00D71EA9"/>
    <w:pPr>
      <w:spacing w:line="300" w:lineRule="auto"/>
      <w:ind w:right="-6" w:firstLine="357"/>
    </w:pPr>
    <w:rPr>
      <w:sz w:val="28"/>
    </w:rPr>
  </w:style>
  <w:style w:type="paragraph" w:styleId="a7">
    <w:name w:val="Block Text"/>
    <w:basedOn w:val="a"/>
    <w:semiHidden/>
    <w:rsid w:val="00D71EA9"/>
    <w:pPr>
      <w:spacing w:line="25" w:lineRule="atLeast"/>
      <w:ind w:left="360" w:right="-6"/>
      <w:jc w:val="both"/>
    </w:pPr>
    <w:rPr>
      <w:sz w:val="28"/>
    </w:rPr>
  </w:style>
  <w:style w:type="paragraph" w:customStyle="1" w:styleId="ConsPlusNormal">
    <w:name w:val="ConsPlusNormal"/>
    <w:rsid w:val="00087C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22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2DD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61F2D"/>
    <w:pPr>
      <w:suppressLineNumbers/>
      <w:suppressAutoHyphens/>
    </w:pPr>
    <w:rPr>
      <w:lang w:eastAsia="zh-CN"/>
    </w:rPr>
  </w:style>
  <w:style w:type="character" w:customStyle="1" w:styleId="FontStyle29">
    <w:name w:val="Font Style29"/>
    <w:uiPriority w:val="99"/>
    <w:rsid w:val="008F4C14"/>
    <w:rPr>
      <w:rFonts w:ascii="Times New Roman" w:hAnsi="Times New Roman"/>
      <w:sz w:val="26"/>
    </w:rPr>
  </w:style>
  <w:style w:type="paragraph" w:customStyle="1" w:styleId="Style23">
    <w:name w:val="Style23"/>
    <w:basedOn w:val="a"/>
    <w:uiPriority w:val="99"/>
    <w:rsid w:val="008F4C14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styleId="ab">
    <w:name w:val="No Spacing"/>
    <w:uiPriority w:val="1"/>
    <w:qFormat/>
    <w:rsid w:val="008F4C14"/>
    <w:rPr>
      <w:rFonts w:ascii="Calibri" w:hAnsi="Calibri"/>
      <w:sz w:val="22"/>
      <w:szCs w:val="22"/>
    </w:rPr>
  </w:style>
  <w:style w:type="character" w:styleId="ac">
    <w:name w:val="Hyperlink"/>
    <w:uiPriority w:val="99"/>
    <w:semiHidden/>
    <w:unhideWhenUsed/>
    <w:rsid w:val="008F4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A9"/>
    <w:rPr>
      <w:sz w:val="24"/>
      <w:szCs w:val="24"/>
    </w:rPr>
  </w:style>
  <w:style w:type="paragraph" w:styleId="1">
    <w:name w:val="heading 1"/>
    <w:basedOn w:val="a"/>
    <w:next w:val="a"/>
    <w:qFormat/>
    <w:rsid w:val="008B4537"/>
    <w:pPr>
      <w:ind w:firstLine="360"/>
      <w:jc w:val="both"/>
      <w:outlineLvl w:val="0"/>
    </w:pPr>
  </w:style>
  <w:style w:type="paragraph" w:styleId="2">
    <w:name w:val="heading 2"/>
    <w:basedOn w:val="a"/>
    <w:next w:val="a"/>
    <w:qFormat/>
    <w:rsid w:val="00D71EA9"/>
    <w:pPr>
      <w:keepNext/>
      <w:ind w:firstLine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1EA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71EA9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D71EA9"/>
    <w:pPr>
      <w:spacing w:line="360" w:lineRule="auto"/>
      <w:ind w:right="-6"/>
    </w:pPr>
  </w:style>
  <w:style w:type="paragraph" w:styleId="20">
    <w:name w:val="Body Text 2"/>
    <w:basedOn w:val="a"/>
    <w:semiHidden/>
    <w:rsid w:val="00D71EA9"/>
    <w:pPr>
      <w:spacing w:line="360" w:lineRule="auto"/>
      <w:ind w:right="-6"/>
    </w:pPr>
    <w:rPr>
      <w:sz w:val="22"/>
    </w:rPr>
  </w:style>
  <w:style w:type="paragraph" w:styleId="a6">
    <w:name w:val="Body Text Indent"/>
    <w:basedOn w:val="a"/>
    <w:semiHidden/>
    <w:rsid w:val="00D71EA9"/>
    <w:pPr>
      <w:spacing w:line="360" w:lineRule="auto"/>
      <w:ind w:right="-6" w:firstLine="720"/>
    </w:pPr>
  </w:style>
  <w:style w:type="paragraph" w:styleId="21">
    <w:name w:val="Body Text Indent 2"/>
    <w:basedOn w:val="a"/>
    <w:semiHidden/>
    <w:rsid w:val="00D71EA9"/>
    <w:pPr>
      <w:spacing w:line="360" w:lineRule="auto"/>
      <w:ind w:right="-6" w:firstLine="360"/>
      <w:jc w:val="center"/>
    </w:pPr>
  </w:style>
  <w:style w:type="paragraph" w:styleId="3">
    <w:name w:val="Body Text Indent 3"/>
    <w:basedOn w:val="a"/>
    <w:semiHidden/>
    <w:rsid w:val="00D71EA9"/>
    <w:pPr>
      <w:spacing w:line="300" w:lineRule="auto"/>
      <w:ind w:right="-6" w:firstLine="357"/>
    </w:pPr>
    <w:rPr>
      <w:sz w:val="28"/>
    </w:rPr>
  </w:style>
  <w:style w:type="paragraph" w:styleId="a7">
    <w:name w:val="Block Text"/>
    <w:basedOn w:val="a"/>
    <w:semiHidden/>
    <w:rsid w:val="00D71EA9"/>
    <w:pPr>
      <w:spacing w:line="25" w:lineRule="atLeast"/>
      <w:ind w:left="360" w:right="-6"/>
      <w:jc w:val="both"/>
    </w:pPr>
    <w:rPr>
      <w:sz w:val="28"/>
    </w:rPr>
  </w:style>
  <w:style w:type="paragraph" w:customStyle="1" w:styleId="ConsPlusNormal">
    <w:name w:val="ConsPlusNormal"/>
    <w:rsid w:val="00087C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22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2DD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61F2D"/>
    <w:pPr>
      <w:suppressLineNumbers/>
      <w:suppressAutoHyphens/>
    </w:pPr>
    <w:rPr>
      <w:lang w:eastAsia="zh-CN"/>
    </w:rPr>
  </w:style>
  <w:style w:type="character" w:customStyle="1" w:styleId="FontStyle29">
    <w:name w:val="Font Style29"/>
    <w:uiPriority w:val="99"/>
    <w:rsid w:val="008F4C14"/>
    <w:rPr>
      <w:rFonts w:ascii="Times New Roman" w:hAnsi="Times New Roman"/>
      <w:sz w:val="26"/>
    </w:rPr>
  </w:style>
  <w:style w:type="paragraph" w:customStyle="1" w:styleId="Style23">
    <w:name w:val="Style23"/>
    <w:basedOn w:val="a"/>
    <w:uiPriority w:val="99"/>
    <w:rsid w:val="008F4C14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styleId="ab">
    <w:name w:val="No Spacing"/>
    <w:uiPriority w:val="1"/>
    <w:qFormat/>
    <w:rsid w:val="008F4C14"/>
    <w:rPr>
      <w:rFonts w:ascii="Calibri" w:hAnsi="Calibri"/>
      <w:sz w:val="22"/>
      <w:szCs w:val="22"/>
    </w:rPr>
  </w:style>
  <w:style w:type="character" w:styleId="ac">
    <w:name w:val="Hyperlink"/>
    <w:uiPriority w:val="99"/>
    <w:semiHidden/>
    <w:unhideWhenUsed/>
    <w:rsid w:val="008F4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lag-admin.ru/gosudarstvennye-i-municipalnye-uslugi/utverzhdennye-administrativnye-reglamenty/stroitelstvo-arhitektura-dorogi/vydacha-razresheniya-na-vvod-obekta-v-ekspluataciyu-na-territorii-municipalnogo-obrazovaniya-blagoveschenskii-raion-altaiskogo-kr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216E-3460-4D42-8370-E20A83AC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"_____" ______________ 200_ г</vt:lpstr>
    </vt:vector>
  </TitlesOfParts>
  <Company>Администрация района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"_____" ______________ 200_ г</dc:title>
  <dc:creator>Бороздов</dc:creator>
  <cp:lastModifiedBy>Татьяна Петровна</cp:lastModifiedBy>
  <cp:revision>6</cp:revision>
  <cp:lastPrinted>2023-03-29T07:54:00Z</cp:lastPrinted>
  <dcterms:created xsi:type="dcterms:W3CDTF">2023-03-29T06:35:00Z</dcterms:created>
  <dcterms:modified xsi:type="dcterms:W3CDTF">2023-04-05T00:58:00Z</dcterms:modified>
</cp:coreProperties>
</file>