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A6" w:rsidRDefault="00D72332" w:rsidP="00DE195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ДОКЛАД</w:t>
      </w:r>
    </w:p>
    <w:p w:rsidR="005843A6" w:rsidRDefault="00D7233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правоприменительной практике осуществления муниципального лесного контроля на территории </w:t>
      </w:r>
      <w:r w:rsidR="006B71A3">
        <w:rPr>
          <w:rFonts w:eastAsia="Calibri"/>
          <w:b/>
          <w:sz w:val="28"/>
          <w:szCs w:val="28"/>
        </w:rPr>
        <w:t>Троицкого района Алтайского края</w:t>
      </w:r>
    </w:p>
    <w:p w:rsidR="005843A6" w:rsidRDefault="005843A6">
      <w:pPr>
        <w:jc w:val="center"/>
        <w:rPr>
          <w:rFonts w:eastAsia="Calibri"/>
          <w:b/>
          <w:sz w:val="28"/>
          <w:szCs w:val="28"/>
        </w:rPr>
      </w:pPr>
    </w:p>
    <w:p w:rsidR="005843A6" w:rsidRDefault="00D72332">
      <w:pPr>
        <w:numPr>
          <w:ilvl w:val="0"/>
          <w:numId w:val="2"/>
        </w:num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положения</w:t>
      </w:r>
    </w:p>
    <w:p w:rsidR="005843A6" w:rsidRDefault="005843A6">
      <w:pPr>
        <w:ind w:left="1080"/>
        <w:rPr>
          <w:rFonts w:eastAsia="Calibri"/>
          <w:b/>
          <w:sz w:val="28"/>
          <w:szCs w:val="28"/>
        </w:rPr>
      </w:pPr>
    </w:p>
    <w:p w:rsidR="005843A6" w:rsidRDefault="00D723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Органом, уполномоченным на осуществление муниципального лесного контроля на территории </w:t>
      </w:r>
      <w:r w:rsidR="006B71A3">
        <w:rPr>
          <w:rFonts w:eastAsia="Calibri"/>
          <w:sz w:val="28"/>
          <w:szCs w:val="28"/>
        </w:rPr>
        <w:t>Троицкого района Алтайского края</w:t>
      </w:r>
      <w:r>
        <w:rPr>
          <w:rFonts w:eastAsia="Calibri"/>
          <w:sz w:val="28"/>
          <w:szCs w:val="28"/>
        </w:rPr>
        <w:t xml:space="preserve"> (далее – муниципальный контроль), является администрация </w:t>
      </w:r>
      <w:r w:rsidR="006B71A3">
        <w:rPr>
          <w:rFonts w:eastAsia="Calibri"/>
          <w:sz w:val="28"/>
          <w:szCs w:val="28"/>
        </w:rPr>
        <w:t xml:space="preserve">Троицкого района Алтайского края </w:t>
      </w:r>
      <w:r>
        <w:rPr>
          <w:rFonts w:eastAsia="Calibri"/>
          <w:sz w:val="28"/>
          <w:szCs w:val="28"/>
        </w:rPr>
        <w:t>(далее – Уполномоченный орган), от имени которой муниципальный контроль осуществляется:</w:t>
      </w:r>
    </w:p>
    <w:p w:rsidR="005843A6" w:rsidRDefault="00D723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в части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соблюдением юридическими лицами, индивидуальными предпринимателями и гражданами в отношении лесных участков, находящихся </w:t>
      </w:r>
      <w:r w:rsidR="006B71A3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6B71A3">
        <w:rPr>
          <w:sz w:val="28"/>
          <w:szCs w:val="28"/>
        </w:rPr>
        <w:t>Троицкого района Алтайского края</w:t>
      </w:r>
      <w:r>
        <w:rPr>
          <w:sz w:val="28"/>
          <w:szCs w:val="28"/>
        </w:rPr>
        <w:t xml:space="preserve"> в соответствии с Лесным кодексом Российской Федерации</w:t>
      </w:r>
      <w:r>
        <w:rPr>
          <w:rFonts w:eastAsia="Calibri"/>
          <w:sz w:val="28"/>
          <w:szCs w:val="28"/>
        </w:rPr>
        <w:t>;</w:t>
      </w:r>
    </w:p>
    <w:p w:rsidR="005843A6" w:rsidRDefault="00D7233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1F4A50">
        <w:rPr>
          <w:rFonts w:eastAsia="Calibri"/>
          <w:sz w:val="28"/>
          <w:szCs w:val="28"/>
        </w:rPr>
        <w:t xml:space="preserve">в остальной части </w:t>
      </w:r>
      <w:proofErr w:type="gramStart"/>
      <w:r w:rsidRPr="001F4A50">
        <w:rPr>
          <w:rFonts w:eastAsia="Calibri"/>
          <w:sz w:val="28"/>
          <w:szCs w:val="28"/>
        </w:rPr>
        <w:t>контроль за</w:t>
      </w:r>
      <w:proofErr w:type="gramEnd"/>
      <w:r w:rsidRPr="001F4A50">
        <w:rPr>
          <w:rFonts w:eastAsia="Calibri"/>
          <w:sz w:val="28"/>
          <w:szCs w:val="28"/>
        </w:rPr>
        <w:t xml:space="preserve"> соблюдением </w:t>
      </w:r>
      <w:r w:rsidRPr="001F4A50">
        <w:rPr>
          <w:sz w:val="28"/>
          <w:szCs w:val="28"/>
        </w:rPr>
        <w:t>требований, установленных,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1F4A50">
        <w:rPr>
          <w:rFonts w:eastAsia="Calibri"/>
          <w:sz w:val="28"/>
          <w:szCs w:val="28"/>
        </w:rPr>
        <w:t>.</w:t>
      </w:r>
    </w:p>
    <w:p w:rsidR="005843A6" w:rsidRDefault="00D7233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5843A6" w:rsidRDefault="00D72332">
      <w:pPr>
        <w:numPr>
          <w:ilvl w:val="0"/>
          <w:numId w:val="3"/>
        </w:numPr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Федерации»;</w:t>
      </w:r>
    </w:p>
    <w:p w:rsidR="005843A6" w:rsidRDefault="00D72332">
      <w:pPr>
        <w:numPr>
          <w:ilvl w:val="0"/>
          <w:numId w:val="3"/>
        </w:numPr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 закона Российской Федерации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F75B45" w:rsidRDefault="00D72332" w:rsidP="00F75B45">
      <w:pPr>
        <w:numPr>
          <w:ilvl w:val="0"/>
          <w:numId w:val="3"/>
        </w:numPr>
        <w:ind w:left="0" w:firstLine="708"/>
        <w:jc w:val="both"/>
        <w:rPr>
          <w:rFonts w:eastAsia="Calibri"/>
          <w:sz w:val="28"/>
          <w:szCs w:val="28"/>
        </w:rPr>
      </w:pPr>
      <w:r w:rsidRPr="00F75B45">
        <w:rPr>
          <w:rFonts w:eastAsia="Calibri"/>
          <w:sz w:val="28"/>
          <w:szCs w:val="28"/>
        </w:rPr>
        <w:t xml:space="preserve">решения </w:t>
      </w:r>
      <w:r w:rsidR="00F75B45">
        <w:rPr>
          <w:rFonts w:eastAsia="Calibri"/>
          <w:sz w:val="28"/>
          <w:szCs w:val="28"/>
        </w:rPr>
        <w:t>Троицкого районного Совета депутатов Алтайского края</w:t>
      </w:r>
      <w:r w:rsidRPr="00F75B45">
        <w:rPr>
          <w:rFonts w:eastAsia="Calibri"/>
          <w:sz w:val="28"/>
          <w:szCs w:val="28"/>
        </w:rPr>
        <w:t xml:space="preserve"> от </w:t>
      </w:r>
      <w:r w:rsidR="00DA4F67" w:rsidRPr="00F75B45">
        <w:rPr>
          <w:rFonts w:eastAsia="Calibri"/>
          <w:sz w:val="28"/>
          <w:szCs w:val="28"/>
        </w:rPr>
        <w:t>29</w:t>
      </w:r>
      <w:r w:rsidRPr="00F75B45">
        <w:rPr>
          <w:rFonts w:eastAsia="Calibri"/>
          <w:sz w:val="28"/>
          <w:szCs w:val="28"/>
        </w:rPr>
        <w:t>.</w:t>
      </w:r>
      <w:r w:rsidR="00DA4F67" w:rsidRPr="00F75B45">
        <w:rPr>
          <w:rFonts w:eastAsia="Calibri"/>
          <w:sz w:val="28"/>
          <w:szCs w:val="28"/>
        </w:rPr>
        <w:t>09</w:t>
      </w:r>
      <w:r w:rsidRPr="00F75B45">
        <w:rPr>
          <w:rFonts w:eastAsia="Calibri"/>
          <w:sz w:val="28"/>
          <w:szCs w:val="28"/>
        </w:rPr>
        <w:t xml:space="preserve">.2021 № </w:t>
      </w:r>
      <w:r w:rsidR="00DA4F67" w:rsidRPr="00F75B45">
        <w:rPr>
          <w:rFonts w:eastAsia="Calibri"/>
          <w:sz w:val="28"/>
          <w:szCs w:val="28"/>
        </w:rPr>
        <w:t>62</w:t>
      </w:r>
      <w:r w:rsidRPr="00F75B45">
        <w:rPr>
          <w:rFonts w:eastAsia="Calibri"/>
          <w:sz w:val="28"/>
          <w:szCs w:val="28"/>
        </w:rPr>
        <w:t xml:space="preserve"> «</w:t>
      </w:r>
      <w:r w:rsidR="00F75B45">
        <w:rPr>
          <w:color w:val="000000"/>
          <w:sz w:val="27"/>
          <w:szCs w:val="27"/>
        </w:rPr>
        <w:t>«Об утверждении Положения о муниципальном лесном контроле на территории Троицкого района»</w:t>
      </w:r>
      <w:r w:rsidR="00F75B45">
        <w:rPr>
          <w:color w:val="000000"/>
          <w:sz w:val="27"/>
          <w:szCs w:val="27"/>
        </w:rPr>
        <w:t>.</w:t>
      </w:r>
      <w:r w:rsidR="00F75B45" w:rsidRPr="00F75B45">
        <w:rPr>
          <w:rFonts w:eastAsia="Calibri"/>
          <w:sz w:val="28"/>
          <w:szCs w:val="28"/>
        </w:rPr>
        <w:t xml:space="preserve"> </w:t>
      </w:r>
    </w:p>
    <w:p w:rsidR="005843A6" w:rsidRPr="00F75B45" w:rsidRDefault="00D72332" w:rsidP="00F75B45">
      <w:pPr>
        <w:ind w:firstLine="708"/>
        <w:jc w:val="both"/>
        <w:rPr>
          <w:rFonts w:eastAsia="Calibri"/>
          <w:sz w:val="28"/>
          <w:szCs w:val="28"/>
        </w:rPr>
      </w:pPr>
      <w:r w:rsidRPr="00F75B45">
        <w:rPr>
          <w:rFonts w:eastAsia="Calibri"/>
          <w:sz w:val="28"/>
          <w:szCs w:val="28"/>
        </w:rPr>
        <w:t>3. Настоящий доклад подготовлен уполномоченным органом в соответствии с Федеральным законом от 31.07.2020 № 248-ФЗ.</w:t>
      </w:r>
    </w:p>
    <w:p w:rsidR="005843A6" w:rsidRDefault="00D7233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Доклад содержит материалы обобщения правоприменительной практики по муниципальному контролю.</w:t>
      </w:r>
    </w:p>
    <w:p w:rsidR="005843A6" w:rsidRDefault="00D7233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Обобщение правоприменительной практики проведено в соответствии с задачами, установленными статьей 47 Федерального закона Российской Федерации от 31.07.2020 № 248-ФЗ.</w:t>
      </w:r>
    </w:p>
    <w:p w:rsidR="005843A6" w:rsidRDefault="005843A6">
      <w:pPr>
        <w:ind w:firstLine="708"/>
        <w:jc w:val="both"/>
        <w:rPr>
          <w:rFonts w:eastAsia="Calibri"/>
          <w:sz w:val="28"/>
          <w:szCs w:val="28"/>
        </w:rPr>
      </w:pPr>
    </w:p>
    <w:p w:rsidR="005843A6" w:rsidRDefault="00D72332">
      <w:pPr>
        <w:numPr>
          <w:ilvl w:val="0"/>
          <w:numId w:val="2"/>
        </w:numPr>
        <w:ind w:left="0" w:firstLine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муниципальном контроле</w:t>
      </w:r>
    </w:p>
    <w:p w:rsidR="005843A6" w:rsidRDefault="005843A6">
      <w:pPr>
        <w:jc w:val="center"/>
        <w:rPr>
          <w:rFonts w:eastAsia="Calibri"/>
          <w:b/>
          <w:bCs/>
          <w:sz w:val="28"/>
          <w:szCs w:val="28"/>
        </w:rPr>
      </w:pPr>
    </w:p>
    <w:p w:rsidR="005843A6" w:rsidRDefault="00D72332">
      <w:pPr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5. Реализация полномочий муниципального контроля </w:t>
      </w:r>
      <w:r>
        <w:rPr>
          <w:rFonts w:eastAsia="Calibri"/>
          <w:sz w:val="28"/>
          <w:szCs w:val="28"/>
        </w:rPr>
        <w:t>осуществляется при соблюдении основных принципов муниципального контроля:</w:t>
      </w:r>
    </w:p>
    <w:p w:rsidR="005843A6" w:rsidRDefault="00D72332">
      <w:pPr>
        <w:numPr>
          <w:ilvl w:val="0"/>
          <w:numId w:val="4"/>
        </w:numPr>
        <w:ind w:left="0"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5843A6" w:rsidRDefault="00D72332">
      <w:pPr>
        <w:numPr>
          <w:ilvl w:val="0"/>
          <w:numId w:val="4"/>
        </w:numPr>
        <w:ind w:left="0"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5843A6" w:rsidRDefault="00D72332">
      <w:pPr>
        <w:numPr>
          <w:ilvl w:val="0"/>
          <w:numId w:val="4"/>
        </w:numPr>
        <w:ind w:left="0"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5843A6" w:rsidRDefault="00D72332">
      <w:pPr>
        <w:numPr>
          <w:ilvl w:val="0"/>
          <w:numId w:val="4"/>
        </w:numPr>
        <w:ind w:left="0"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5843A6" w:rsidRDefault="00D72332">
      <w:pPr>
        <w:numPr>
          <w:ilvl w:val="0"/>
          <w:numId w:val="4"/>
        </w:numPr>
        <w:ind w:left="0"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сохранении</w:t>
      </w:r>
      <w:proofErr w:type="gramEnd"/>
      <w:r>
        <w:rPr>
          <w:rFonts w:eastAsia="Calibri"/>
          <w:bCs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5843A6" w:rsidRDefault="00D72332">
      <w:pPr>
        <w:numPr>
          <w:ilvl w:val="0"/>
          <w:numId w:val="4"/>
        </w:numPr>
        <w:ind w:left="0"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5843A6" w:rsidRDefault="00D72332">
      <w:pPr>
        <w:numPr>
          <w:ilvl w:val="0"/>
          <w:numId w:val="4"/>
        </w:numPr>
        <w:ind w:left="0"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оперативности и разумности при осуществлении муниципального контроля.</w:t>
      </w:r>
    </w:p>
    <w:p w:rsidR="005843A6" w:rsidRDefault="00D7233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proofErr w:type="gramStart"/>
      <w:r>
        <w:rPr>
          <w:rFonts w:eastAsia="Calibri"/>
          <w:sz w:val="28"/>
          <w:szCs w:val="28"/>
        </w:rPr>
        <w:t xml:space="preserve">В соответствии с требованиями части 3 статьи 46 Федерального закона Российской Федерации от 31.07.2020 № 248-ФЗ на официальном сайте </w:t>
      </w:r>
      <w:r w:rsidR="00B02623">
        <w:rPr>
          <w:rFonts w:eastAsia="Calibri"/>
          <w:sz w:val="28"/>
          <w:szCs w:val="28"/>
        </w:rPr>
        <w:t>администрации Троицкого района Алтайского края</w:t>
      </w:r>
      <w:r>
        <w:rPr>
          <w:rFonts w:eastAsia="Calibri"/>
          <w:sz w:val="28"/>
          <w:szCs w:val="28"/>
        </w:rPr>
        <w:t xml:space="preserve"> размещен текст нормативного правового акта, регулирующего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</w:t>
      </w:r>
      <w:proofErr w:type="gramEnd"/>
      <w:r>
        <w:rPr>
          <w:rFonts w:eastAsia="Calibri"/>
          <w:sz w:val="28"/>
          <w:szCs w:val="28"/>
        </w:rPr>
        <w:t xml:space="preserve"> обязательных требований, программа профилактики рисков причинения вреда.</w:t>
      </w:r>
    </w:p>
    <w:p w:rsidR="005843A6" w:rsidRDefault="00D5226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proofErr w:type="spellStart"/>
      <w:proofErr w:type="gramStart"/>
      <w:r w:rsidR="00D72332">
        <w:rPr>
          <w:rFonts w:eastAsia="Calibri"/>
          <w:sz w:val="28"/>
          <w:szCs w:val="28"/>
        </w:rPr>
        <w:t>Единообразность</w:t>
      </w:r>
      <w:proofErr w:type="spellEnd"/>
      <w:r w:rsidR="00D72332">
        <w:rPr>
          <w:rFonts w:eastAsia="Calibri"/>
          <w:sz w:val="28"/>
          <w:szCs w:val="28"/>
        </w:rPr>
        <w:t xml:space="preserve"> применения обязательных требований Уполномоченным органом и его должностными лицами основана на открытости деятельности Уполномоченного органа, размещении на сайте </w:t>
      </w:r>
      <w:r>
        <w:rPr>
          <w:rFonts w:eastAsia="Calibri"/>
          <w:sz w:val="28"/>
          <w:szCs w:val="28"/>
        </w:rPr>
        <w:t>администрации Троицкого района Алтайского края</w:t>
      </w:r>
      <w:r w:rsidR="00D72332">
        <w:rPr>
          <w:rFonts w:eastAsia="Calibri"/>
          <w:sz w:val="28"/>
          <w:szCs w:val="28"/>
        </w:rPr>
        <w:t xml:space="preserve">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лесного </w:t>
      </w:r>
      <w:r w:rsidR="00D72332">
        <w:rPr>
          <w:rFonts w:eastAsia="Calibri"/>
          <w:sz w:val="28"/>
          <w:szCs w:val="28"/>
        </w:rPr>
        <w:lastRenderedPageBreak/>
        <w:t xml:space="preserve">контроля на территории </w:t>
      </w:r>
      <w:r>
        <w:rPr>
          <w:rFonts w:eastAsia="Calibri"/>
          <w:sz w:val="28"/>
          <w:szCs w:val="28"/>
        </w:rPr>
        <w:t>Троицкого района Алтайского края</w:t>
      </w:r>
      <w:r w:rsidR="00D72332">
        <w:rPr>
          <w:rFonts w:eastAsia="Calibri"/>
          <w:sz w:val="28"/>
          <w:szCs w:val="28"/>
        </w:rPr>
        <w:t>.</w:t>
      </w:r>
      <w:proofErr w:type="gramEnd"/>
    </w:p>
    <w:p w:rsidR="005843A6" w:rsidRDefault="00D7233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5843A6" w:rsidRDefault="00D7233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Фактов поступления в Уполномоченный орган обращений, заявлений,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 не зафиксировано. </w:t>
      </w:r>
    </w:p>
    <w:p w:rsidR="005843A6" w:rsidRDefault="005843A6">
      <w:pPr>
        <w:ind w:firstLine="708"/>
        <w:jc w:val="both"/>
        <w:rPr>
          <w:rFonts w:eastAsia="Calibri"/>
          <w:sz w:val="28"/>
          <w:szCs w:val="28"/>
        </w:rPr>
      </w:pPr>
    </w:p>
    <w:p w:rsidR="005843A6" w:rsidRDefault="00D72332">
      <w:pPr>
        <w:numPr>
          <w:ilvl w:val="0"/>
          <w:numId w:val="2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5843A6" w:rsidRDefault="005843A6">
      <w:pPr>
        <w:ind w:left="720"/>
        <w:rPr>
          <w:rFonts w:eastAsia="Calibri"/>
          <w:b/>
          <w:sz w:val="28"/>
          <w:szCs w:val="28"/>
        </w:rPr>
      </w:pPr>
    </w:p>
    <w:p w:rsidR="005843A6" w:rsidRDefault="00D72332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Плановые контрольные (надзорные) мероприятия за 2022 год не проводились в связи с отсутствием оснований, предусмотренных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5843A6" w:rsidRDefault="00D72332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 Внеплановые проверки не проводились в связи с отсутствием оснований, предусмотренных пунктами 1, 3 - 6 части 1, частью 3 статьи 57 и частью 12 статьи 66 Федерального закона Российской Федерации от 31.07.2020 года № 248-ФЗ,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5843A6" w:rsidRDefault="00D72332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В связи с тем, что контрольные мероприятия в 2022 году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5843A6" w:rsidRDefault="00D72332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 В целях профилактики рисков причинения вреда (ущерба) охраняемым законом ценностям в рамках проведения муниципального лесного контроля на территории </w:t>
      </w:r>
      <w:r w:rsidR="00B02623">
        <w:rPr>
          <w:sz w:val="28"/>
          <w:szCs w:val="28"/>
        </w:rPr>
        <w:t>Троицкого района Алтайского края</w:t>
      </w:r>
      <w:r>
        <w:rPr>
          <w:rFonts w:eastAsia="Calibri"/>
          <w:sz w:val="28"/>
          <w:szCs w:val="28"/>
        </w:rPr>
        <w:t xml:space="preserve"> проведена следующая работа:</w:t>
      </w:r>
    </w:p>
    <w:p w:rsidR="005843A6" w:rsidRDefault="00D72332">
      <w:pPr>
        <w:numPr>
          <w:ilvl w:val="0"/>
          <w:numId w:val="5"/>
        </w:numPr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официальном сайте муниципального образования </w:t>
      </w:r>
      <w:r w:rsidR="00DE1952">
        <w:rPr>
          <w:rFonts w:eastAsia="Calibri"/>
          <w:sz w:val="28"/>
          <w:szCs w:val="28"/>
        </w:rPr>
        <w:t xml:space="preserve">администрации Троицкого района Алтайского края </w:t>
      </w:r>
      <w:r>
        <w:rPr>
          <w:rFonts w:eastAsia="Calibri"/>
          <w:sz w:val="28"/>
          <w:szCs w:val="28"/>
        </w:rPr>
        <w:t>размещен перечень правовых актов, содержащих обязательные требования;</w:t>
      </w:r>
    </w:p>
    <w:p w:rsidR="005843A6" w:rsidRDefault="00D72332">
      <w:pPr>
        <w:numPr>
          <w:ilvl w:val="0"/>
          <w:numId w:val="5"/>
        </w:numPr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5843A6" w:rsidRDefault="00D72332">
      <w:pPr>
        <w:numPr>
          <w:ilvl w:val="0"/>
          <w:numId w:val="5"/>
        </w:numPr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5843A6" w:rsidRDefault="00D72332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14. </w:t>
      </w:r>
      <w:r w:rsidRPr="001F4A50">
        <w:rPr>
          <w:rFonts w:eastAsia="Calibri"/>
          <w:sz w:val="28"/>
          <w:szCs w:val="28"/>
        </w:rPr>
        <w:t>В процессе осуществления муниципального контроля ведется информационно-разъяснительная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и реализации положений Федерального закона Российской Федерации от 31.07.2020 года № 248-ФЗ «О государственном контроле (надзоре) и муниципальном контроле в Российской Федерации»).</w:t>
      </w:r>
    </w:p>
    <w:p w:rsidR="005843A6" w:rsidRDefault="005843A6">
      <w:pPr>
        <w:jc w:val="both"/>
        <w:rPr>
          <w:rFonts w:eastAsia="Calibri"/>
          <w:sz w:val="28"/>
          <w:szCs w:val="28"/>
        </w:rPr>
      </w:pPr>
    </w:p>
    <w:p w:rsidR="005843A6" w:rsidRDefault="001F4A50" w:rsidP="001F4A50">
      <w:pPr>
        <w:widowControl w:val="0"/>
        <w:numPr>
          <w:ilvl w:val="0"/>
          <w:numId w:val="2"/>
        </w:num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1F4A50">
        <w:rPr>
          <w:rFonts w:eastAsia="Calibri"/>
          <w:b/>
          <w:sz w:val="28"/>
          <w:szCs w:val="28"/>
        </w:rPr>
        <w:t>Выводы и предложения по итогам организации и осуществления вида контроля:</w:t>
      </w:r>
      <w:r w:rsidR="00D72332">
        <w:rPr>
          <w:rFonts w:eastAsia="Calibri"/>
          <w:b/>
          <w:sz w:val="28"/>
          <w:szCs w:val="28"/>
        </w:rPr>
        <w:t xml:space="preserve"> причинения вреда (ущерба) охраняемым законом ценностям, выявление источников и факторов риска причинения вреда (ущерба)</w:t>
      </w:r>
    </w:p>
    <w:p w:rsidR="005843A6" w:rsidRDefault="005843A6">
      <w:pPr>
        <w:widowControl w:val="0"/>
        <w:shd w:val="clear" w:color="auto" w:fill="FFFFFF"/>
        <w:rPr>
          <w:rFonts w:eastAsia="Calibri"/>
          <w:b/>
          <w:sz w:val="28"/>
          <w:szCs w:val="28"/>
        </w:rPr>
      </w:pPr>
    </w:p>
    <w:p w:rsidR="001F4A50" w:rsidRDefault="00DE1952" w:rsidP="001F4A50">
      <w:pPr>
        <w:tabs>
          <w:tab w:val="left" w:pos="4678"/>
          <w:tab w:val="left" w:pos="8113"/>
        </w:tabs>
        <w:ind w:left="142"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1F4A50">
        <w:rPr>
          <w:color w:val="000000"/>
          <w:sz w:val="28"/>
          <w:szCs w:val="28"/>
          <w:shd w:val="clear" w:color="auto" w:fill="FFFFFF"/>
        </w:rPr>
        <w:t xml:space="preserve">В 2022 году плановые </w:t>
      </w:r>
      <w:r w:rsidR="001F4A50" w:rsidRPr="001F4A50">
        <w:rPr>
          <w:color w:val="000000"/>
          <w:sz w:val="28"/>
          <w:szCs w:val="28"/>
          <w:shd w:val="clear" w:color="auto" w:fill="FFFFFF"/>
        </w:rPr>
        <w:t>мероприятия по муниципальному лесному</w:t>
      </w:r>
      <w:r w:rsidR="001F4A50" w:rsidRPr="001F4A50">
        <w:rPr>
          <w:color w:val="000000"/>
          <w:sz w:val="28"/>
          <w:szCs w:val="28"/>
        </w:rPr>
        <w:br/>
      </w:r>
      <w:r w:rsidR="001F4A50" w:rsidRPr="001F4A50">
        <w:rPr>
          <w:color w:val="000000"/>
          <w:sz w:val="28"/>
          <w:szCs w:val="28"/>
          <w:shd w:val="clear" w:color="auto" w:fill="FFFFFF"/>
        </w:rPr>
        <w:t>контролю на территории Троицкого района Алтайского края, не проводились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1F4A50" w:rsidRPr="001F4A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а) о</w:t>
      </w:r>
      <w:r w:rsidR="001F4A50" w:rsidRPr="001F4A50">
        <w:rPr>
          <w:color w:val="000000"/>
          <w:sz w:val="28"/>
          <w:szCs w:val="28"/>
          <w:shd w:val="clear" w:color="auto" w:fill="FFFFFF"/>
        </w:rPr>
        <w:t>бращений от физических, юридических лиц, индивидуальных</w:t>
      </w:r>
      <w:r w:rsidR="001F4A50" w:rsidRPr="001F4A50">
        <w:rPr>
          <w:color w:val="000000"/>
          <w:sz w:val="28"/>
          <w:szCs w:val="28"/>
        </w:rPr>
        <w:br/>
      </w:r>
      <w:r w:rsidR="001F4A50" w:rsidRPr="001F4A50">
        <w:rPr>
          <w:color w:val="000000"/>
          <w:sz w:val="28"/>
          <w:szCs w:val="28"/>
          <w:shd w:val="clear" w:color="auto" w:fill="FFFFFF"/>
        </w:rPr>
        <w:t>предпринимателей, содержащих информацию о нарушениях лесного</w:t>
      </w:r>
      <w:r w:rsidR="001F4A50" w:rsidRPr="001F4A50">
        <w:rPr>
          <w:color w:val="000000"/>
          <w:sz w:val="28"/>
          <w:szCs w:val="28"/>
        </w:rPr>
        <w:br/>
      </w:r>
      <w:r w:rsidR="001F4A50" w:rsidRPr="001F4A50">
        <w:rPr>
          <w:color w:val="000000"/>
          <w:sz w:val="28"/>
          <w:szCs w:val="28"/>
          <w:shd w:val="clear" w:color="auto" w:fill="FFFFFF"/>
        </w:rPr>
        <w:t>законодательства на территории Троицкого района Алтайского края, в рассматриваемый период не</w:t>
      </w:r>
      <w:r w:rsidR="001F4A50">
        <w:rPr>
          <w:color w:val="000000"/>
          <w:sz w:val="28"/>
          <w:szCs w:val="28"/>
          <w:shd w:val="clear" w:color="auto" w:fill="FFFFFF"/>
        </w:rPr>
        <w:t xml:space="preserve"> </w:t>
      </w:r>
      <w:r w:rsidR="001F4A50" w:rsidRPr="001F4A50">
        <w:rPr>
          <w:color w:val="000000"/>
          <w:sz w:val="28"/>
          <w:szCs w:val="28"/>
          <w:shd w:val="clear" w:color="auto" w:fill="FFFFFF"/>
        </w:rPr>
        <w:t>поступали</w:t>
      </w:r>
      <w:r w:rsidR="00CD3E4F">
        <w:rPr>
          <w:color w:val="000000"/>
          <w:sz w:val="28"/>
          <w:szCs w:val="28"/>
          <w:shd w:val="clear" w:color="auto" w:fill="FFFFFF"/>
        </w:rPr>
        <w:t>,</w:t>
      </w:r>
    </w:p>
    <w:p w:rsidR="005843A6" w:rsidRPr="00DE1952" w:rsidRDefault="00DE1952" w:rsidP="001F4A50">
      <w:pPr>
        <w:tabs>
          <w:tab w:val="left" w:pos="4678"/>
          <w:tab w:val="left" w:pos="8113"/>
        </w:tabs>
        <w:ind w:left="142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б) п</w:t>
      </w:r>
      <w:r w:rsidR="001F4A50" w:rsidRPr="001F4A50">
        <w:rPr>
          <w:color w:val="000000"/>
          <w:sz w:val="28"/>
          <w:szCs w:val="28"/>
          <w:shd w:val="clear" w:color="auto" w:fill="FFFFFF"/>
        </w:rPr>
        <w:t>редложения по совершенствованию нормативно-правового</w:t>
      </w:r>
      <w:r w:rsidR="001F4A50" w:rsidRPr="001F4A50">
        <w:rPr>
          <w:color w:val="000000"/>
          <w:sz w:val="28"/>
          <w:szCs w:val="28"/>
        </w:rPr>
        <w:br/>
      </w:r>
      <w:r w:rsidR="001F4A50" w:rsidRPr="001F4A50">
        <w:rPr>
          <w:color w:val="000000"/>
          <w:sz w:val="28"/>
          <w:szCs w:val="28"/>
          <w:shd w:val="clear" w:color="auto" w:fill="FFFFFF"/>
        </w:rPr>
        <w:t>регулирования и осуществления государственного контроля (надзора),</w:t>
      </w:r>
      <w:r w:rsidR="001F4A50" w:rsidRPr="001F4A50">
        <w:rPr>
          <w:color w:val="000000"/>
          <w:sz w:val="28"/>
          <w:szCs w:val="28"/>
        </w:rPr>
        <w:br/>
      </w:r>
      <w:r w:rsidR="001F4A50" w:rsidRPr="001F4A50">
        <w:rPr>
          <w:color w:val="000000"/>
          <w:sz w:val="28"/>
          <w:szCs w:val="28"/>
          <w:shd w:val="clear" w:color="auto" w:fill="FFFFFF"/>
        </w:rPr>
        <w:t>муниципального контроля в соответствующей сфере деятельности.</w:t>
      </w:r>
      <w:r w:rsidR="001F4A50" w:rsidRPr="001F4A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1F4A50" w:rsidRPr="001F4A50">
        <w:rPr>
          <w:color w:val="000000"/>
          <w:sz w:val="28"/>
          <w:szCs w:val="28"/>
          <w:shd w:val="clear" w:color="auto" w:fill="FFFFFF"/>
        </w:rPr>
        <w:t>В целях совершенствования нормативно-правового регулирования и</w:t>
      </w:r>
      <w:r w:rsidR="001F4A50" w:rsidRPr="001F4A50">
        <w:rPr>
          <w:color w:val="000000"/>
          <w:sz w:val="28"/>
          <w:szCs w:val="28"/>
        </w:rPr>
        <w:br/>
      </w:r>
      <w:r w:rsidR="001F4A50" w:rsidRPr="001F4A50">
        <w:rPr>
          <w:color w:val="000000"/>
          <w:sz w:val="28"/>
          <w:szCs w:val="28"/>
          <w:shd w:val="clear" w:color="auto" w:fill="FFFFFF"/>
        </w:rPr>
        <w:t>осуществления муниципального лесного контроля необходимо:</w:t>
      </w:r>
      <w:r w:rsidR="001F4A50" w:rsidRPr="001F4A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1F4A50" w:rsidRPr="001F4A50">
        <w:rPr>
          <w:color w:val="000000"/>
          <w:sz w:val="28"/>
          <w:szCs w:val="28"/>
          <w:shd w:val="clear" w:color="auto" w:fill="FFFFFF"/>
        </w:rPr>
        <w:t>- формировать и размещать в сети «Интернет», официальных сайтах</w:t>
      </w:r>
      <w:r w:rsidR="001F4A50" w:rsidRPr="001F4A50">
        <w:rPr>
          <w:color w:val="000000"/>
          <w:sz w:val="28"/>
          <w:szCs w:val="28"/>
        </w:rPr>
        <w:br/>
      </w:r>
      <w:r w:rsidR="001F4A50" w:rsidRPr="001F4A50">
        <w:rPr>
          <w:color w:val="000000"/>
          <w:sz w:val="28"/>
          <w:szCs w:val="28"/>
          <w:shd w:val="clear" w:color="auto" w:fill="FFFFFF"/>
        </w:rPr>
        <w:t>региона (муниципального образования) перечни нормативных правовых актов,</w:t>
      </w:r>
      <w:r w:rsidR="001F4A50" w:rsidRPr="001F4A50">
        <w:rPr>
          <w:color w:val="000000"/>
          <w:sz w:val="28"/>
          <w:szCs w:val="28"/>
        </w:rPr>
        <w:br/>
      </w:r>
      <w:r w:rsidR="001F4A50" w:rsidRPr="001F4A50">
        <w:rPr>
          <w:color w:val="000000"/>
          <w:sz w:val="28"/>
          <w:szCs w:val="28"/>
          <w:shd w:val="clear" w:color="auto" w:fill="FFFFFF"/>
        </w:rPr>
        <w:t>устанавливающих обязательные требования по данному виду контроля;</w:t>
      </w:r>
      <w:r w:rsidR="001F4A50" w:rsidRPr="001F4A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1F4A50" w:rsidRPr="001F4A50">
        <w:rPr>
          <w:color w:val="000000"/>
          <w:sz w:val="28"/>
          <w:szCs w:val="28"/>
          <w:shd w:val="clear" w:color="auto" w:fill="FFFFFF"/>
        </w:rPr>
        <w:t>- обобщать практику по контрольно-надзорной деятельности с перечнем</w:t>
      </w:r>
      <w:r w:rsidR="00CD3E4F">
        <w:rPr>
          <w:color w:val="000000"/>
          <w:sz w:val="28"/>
          <w:szCs w:val="28"/>
        </w:rPr>
        <w:t xml:space="preserve"> </w:t>
      </w:r>
      <w:r w:rsidR="001F4A50" w:rsidRPr="001F4A50">
        <w:rPr>
          <w:color w:val="000000"/>
          <w:sz w:val="28"/>
          <w:szCs w:val="28"/>
          <w:shd w:val="clear" w:color="auto" w:fill="FFFFFF"/>
        </w:rPr>
        <w:t>наиболее частых нарушений, допускаемых субъектами контроля</w:t>
      </w:r>
      <w:r w:rsidR="00CD3E4F">
        <w:rPr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1F4A50" w:rsidRPr="001F4A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в) и</w:t>
      </w:r>
      <w:r w:rsidR="001F4A50" w:rsidRPr="001F4A50">
        <w:rPr>
          <w:color w:val="000000"/>
          <w:sz w:val="28"/>
          <w:szCs w:val="28"/>
          <w:shd w:val="clear" w:color="auto" w:fill="FFFFFF"/>
        </w:rPr>
        <w:t>ные предложения, связанные с</w:t>
      </w:r>
      <w:r w:rsidR="001F4A5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1F4A50" w:rsidRPr="00DE1952">
        <w:rPr>
          <w:color w:val="000000"/>
          <w:sz w:val="28"/>
          <w:szCs w:val="28"/>
          <w:shd w:val="clear" w:color="auto" w:fill="FFFFFF"/>
        </w:rPr>
        <w:t>осуществлением государственного</w:t>
      </w:r>
      <w:r w:rsidR="001F4A50" w:rsidRPr="00DE1952">
        <w:rPr>
          <w:color w:val="000000"/>
          <w:sz w:val="28"/>
          <w:szCs w:val="28"/>
        </w:rPr>
        <w:br/>
      </w:r>
      <w:r w:rsidR="001F4A50" w:rsidRPr="00DE1952">
        <w:rPr>
          <w:color w:val="000000"/>
          <w:sz w:val="28"/>
          <w:szCs w:val="28"/>
          <w:shd w:val="clear" w:color="auto" w:fill="FFFFFF"/>
        </w:rPr>
        <w:t>контроля (надзора), муниципального контроля и направленные на повышение</w:t>
      </w:r>
      <w:r w:rsidRPr="00DE1952">
        <w:rPr>
          <w:color w:val="000000"/>
          <w:sz w:val="28"/>
          <w:szCs w:val="28"/>
        </w:rPr>
        <w:t xml:space="preserve"> </w:t>
      </w:r>
      <w:r w:rsidR="001F4A50" w:rsidRPr="00DE1952">
        <w:rPr>
          <w:color w:val="000000"/>
          <w:sz w:val="28"/>
          <w:szCs w:val="28"/>
          <w:shd w:val="clear" w:color="auto" w:fill="FFFFFF"/>
        </w:rPr>
        <w:t>эффективности такого контроля (надзора) и сокраще</w:t>
      </w:r>
      <w:r>
        <w:rPr>
          <w:color w:val="000000"/>
          <w:sz w:val="28"/>
          <w:szCs w:val="28"/>
          <w:shd w:val="clear" w:color="auto" w:fill="FFFFFF"/>
        </w:rPr>
        <w:t>ние</w:t>
      </w:r>
      <w:r w:rsidRPr="00DE1952">
        <w:rPr>
          <w:color w:val="000000"/>
          <w:sz w:val="28"/>
          <w:szCs w:val="28"/>
          <w:shd w:val="clear" w:color="auto" w:fill="FFFFFF"/>
        </w:rPr>
        <w:t xml:space="preserve"> </w:t>
      </w:r>
      <w:r w:rsidR="001F4A50" w:rsidRPr="00DE1952">
        <w:rPr>
          <w:color w:val="000000"/>
          <w:sz w:val="28"/>
          <w:szCs w:val="28"/>
          <w:shd w:val="clear" w:color="auto" w:fill="FFFFFF"/>
        </w:rPr>
        <w:t>административных</w:t>
      </w:r>
      <w:r w:rsidRPr="00DE1952">
        <w:rPr>
          <w:color w:val="000000"/>
          <w:sz w:val="28"/>
          <w:szCs w:val="28"/>
        </w:rPr>
        <w:t xml:space="preserve"> </w:t>
      </w:r>
      <w:r w:rsidR="001F4A50" w:rsidRPr="00DE1952">
        <w:rPr>
          <w:color w:val="000000"/>
          <w:sz w:val="28"/>
          <w:szCs w:val="28"/>
          <w:shd w:val="clear" w:color="auto" w:fill="FFFFFF"/>
        </w:rPr>
        <w:t>ограничений в предпринимательской деятельности</w:t>
      </w:r>
      <w:proofErr w:type="gramStart"/>
      <w:r w:rsidR="001F4A50" w:rsidRPr="00DE195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1F4A50" w:rsidRPr="00DE1952">
        <w:rPr>
          <w:color w:val="000000"/>
          <w:sz w:val="28"/>
          <w:szCs w:val="28"/>
        </w:rPr>
        <w:br/>
      </w:r>
      <w:proofErr w:type="gramStart"/>
      <w:r w:rsidR="001F4A50" w:rsidRPr="00DE1952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1F4A50" w:rsidRPr="00DE1952">
        <w:rPr>
          <w:color w:val="000000"/>
          <w:sz w:val="28"/>
          <w:szCs w:val="28"/>
          <w:shd w:val="clear" w:color="auto" w:fill="FFFFFF"/>
        </w:rPr>
        <w:t>тсутствуют</w:t>
      </w:r>
      <w:r>
        <w:rPr>
          <w:color w:val="000000"/>
          <w:sz w:val="28"/>
          <w:szCs w:val="28"/>
          <w:shd w:val="clear" w:color="auto" w:fill="FFFFFF"/>
        </w:rPr>
        <w:t>.</w:t>
      </w:r>
    </w:p>
    <w:sectPr w:rsidR="005843A6" w:rsidRPr="00DE1952">
      <w:pgSz w:w="11906" w:h="16838"/>
      <w:pgMar w:top="1418" w:right="1133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724C"/>
    <w:multiLevelType w:val="multilevel"/>
    <w:tmpl w:val="4C4084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AD6699C"/>
    <w:multiLevelType w:val="multilevel"/>
    <w:tmpl w:val="9EE8C9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5C47DAE"/>
    <w:multiLevelType w:val="multilevel"/>
    <w:tmpl w:val="7C262124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7396382"/>
    <w:multiLevelType w:val="multilevel"/>
    <w:tmpl w:val="599058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80A20A3"/>
    <w:multiLevelType w:val="multilevel"/>
    <w:tmpl w:val="8192400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71B57DCA"/>
    <w:multiLevelType w:val="multilevel"/>
    <w:tmpl w:val="03F409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A6"/>
    <w:rsid w:val="001F4A50"/>
    <w:rsid w:val="003A451B"/>
    <w:rsid w:val="005843A6"/>
    <w:rsid w:val="006B71A3"/>
    <w:rsid w:val="00B02623"/>
    <w:rsid w:val="00CD3E4F"/>
    <w:rsid w:val="00D52267"/>
    <w:rsid w:val="00D72332"/>
    <w:rsid w:val="00DA4F67"/>
    <w:rsid w:val="00DE1952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78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824E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824E7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unhideWhenUsed/>
    <w:rsid w:val="00824E78"/>
    <w:pPr>
      <w:spacing w:after="120"/>
    </w:p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1">
    <w:name w:val="Обычный1"/>
    <w:qFormat/>
    <w:rsid w:val="00824E78"/>
    <w:pPr>
      <w:widowControl w:val="0"/>
      <w:suppressAutoHyphens/>
      <w:spacing w:line="30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824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78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824E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824E7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unhideWhenUsed/>
    <w:rsid w:val="00824E78"/>
    <w:pPr>
      <w:spacing w:after="120"/>
    </w:p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1">
    <w:name w:val="Обычный1"/>
    <w:qFormat/>
    <w:rsid w:val="00824E78"/>
    <w:pPr>
      <w:widowControl w:val="0"/>
      <w:suppressAutoHyphens/>
      <w:spacing w:line="30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824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2023-03-13T08:27:00Z</dcterms:created>
  <dcterms:modified xsi:type="dcterms:W3CDTF">2023-03-13T08:27:00Z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